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3640" w14:textId="49BDE27E" w:rsidR="009809DE" w:rsidRDefault="00DC5277">
      <w:r>
        <w:t>DISSERTAÇÕES 2019</w:t>
      </w:r>
    </w:p>
    <w:p w14:paraId="03466EFC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401C781D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Estudo do genoma mitocondrial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Rhodnius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, 1859.</w:t>
      </w:r>
    </w:p>
    <w:p w14:paraId="1F38D4B6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624516B1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THAYANY FERREIRA DA COSTA</w:t>
      </w:r>
    </w:p>
    <w:p w14:paraId="0F847692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67C57296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DISSERTAÇÃO</w:t>
      </w:r>
    </w:p>
    <w:p w14:paraId="1CC9E380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08295469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COSTA, T. F.</w:t>
      </w:r>
    </w:p>
    <w:p w14:paraId="3497E862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42BABFD5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29/08/2019</w:t>
      </w:r>
    </w:p>
    <w:p w14:paraId="115E2C1E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64CF374A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 doença de Chagas é uma enfermidade causada pelo protozoário flagelado Trypanosoma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cruzi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Insetos hemípteros da subfamília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Triatominae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popularmente conhecidos como barbeiros, são os grandes responsáveis pela transmissão do parasita à humanos e outros animais. Dentre esses organismos,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Rhodnius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1859) se destaca como um dos vetores mais importantes de Chagas na América Latina e Central. O objetivo principal objetivo deste estudo foi obter mais conhecimento acerca desse inseto, através da montagem e análise do seu genoma mitocondrial. O genoma mitocondrial de R.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colônia UFRJ foi completamente montado usando bibliotecas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cDNA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do inseto e o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mitogenoma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R.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colônia NIH como molde. Para a montagem foram usados três abordagens diferentes, que envolveram o uso dos programas Trinity,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SPAdes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Blast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Bowtie2, dentre outros. O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mitogenoma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R.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apresenta 37 genes codificantes para 13 proteínas, 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rRNA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22 para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tRNA’s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Com a montagem do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mitogenoma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UFRJ foi realizado uma árvore filogenética com as proteínas mitocondriais concatenadas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Rhodnius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junto com outras espécies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Reduviideos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já sequenciados. Também foi feita a análise de expressão dos genes mitocondriais, usando o programa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Salmon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Expander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 infecção pelo patógeno e a hematofagia parecem afetar a expressão dos genes mitocondriais. Como genomas mitocondriais são amplamente utilizados em estudos de taxonomia e biogeografia, e R.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R.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robustus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são espécies filogeneticamente muito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proximas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foi realizada uma comparação entre a sequência mitocondrial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Rhodnius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UFRJ e sequências disponíveis na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literaturade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R.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R.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robustus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Além disso, foi feito a busca por polimorfismos presentes no genoma mitocondrial da colônia UFRJ, que pudessem ser úteis nos estudos de genética populacional. A busca por variantes identificou 25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SNP’s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Indels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 potencial para serem usados como marcadores moleculares. Os resultados obtidos neste estudo produziram informações importantes acerca da biologia desse vetor, assim como para a filogenia do grupo que esse organismo está inserido.</w:t>
      </w:r>
    </w:p>
    <w:p w14:paraId="7C88FB27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2E180F3D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palavras-chave</w:t>
      </w:r>
    </w:p>
    <w:p w14:paraId="6C0D6B9A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59E5E7FB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Chagas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disease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caused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Trypanosoma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cruzi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protozoan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parasite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transmitted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mammalian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hosts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feaces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blood-sucking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triatomine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bugs.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Rhodnius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epidemiologically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relevant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vectors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Chagas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disease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Latin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Central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America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more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knowledge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about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assembly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mitochondrial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genome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UFRJ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mitogenome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completely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assembled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insect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cDNA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libraries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NIH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mitogenome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guide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assembly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For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assembly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three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approaches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programs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Trinity,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SPAdes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Blast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Bowtie2,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among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others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R.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mitogenome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37 genes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13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rRNAs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22 for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tRNAs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assembly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UFRJ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mitogenome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phylogenetic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concatenated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mitochondrial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Rhodnius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along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other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sequenced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Reduviid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Mitochondrial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Salmon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Expander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program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Pathogen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infection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haematophagy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appear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affect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mitochondrial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 expression. 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mitochondrial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genomes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widely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taxonomy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biogeography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robustus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very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closely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phylogenetically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comparison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between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mitochondrial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Rhodnius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UFRJ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sequences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available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prolixus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robustus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addition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search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polymorphisms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mitochondrial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genome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UFRJ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colony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could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useful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population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genetic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search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variants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identified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25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SNPs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Indels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molecular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markers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important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information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about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biology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vector, 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well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for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phylogeny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group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organism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inserted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64017DE5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2847A1BE" w14:textId="77777777" w:rsidR="00D6029A" w:rsidRPr="00D6029A" w:rsidRDefault="00D6029A" w:rsidP="00D6029A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keywords</w:t>
      </w:r>
      <w:proofErr w:type="spellEnd"/>
    </w:p>
    <w:p w14:paraId="506218C2" w14:textId="5E5CB3AD" w:rsidR="00D6029A" w:rsidRDefault="00D6029A"/>
    <w:p w14:paraId="2DD382EB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26524C90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ESTUDO DO METABOLISMO DE DITERPENOS EM JATROPHA CURCAS L. EMPREGANDO MÉTODOS PROTEÔMICOS ALVO-DIRECIONADOS.</w:t>
      </w:r>
    </w:p>
    <w:p w14:paraId="3E4FF177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1BEF2675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NATALIA PINTO DE ALMEIDA</w:t>
      </w:r>
    </w:p>
    <w:p w14:paraId="40A3058F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49191B7C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DISSERTAÇÃO</w:t>
      </w:r>
    </w:p>
    <w:p w14:paraId="63404A66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3473098A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ALMEIDA, N. P.</w:t>
      </w:r>
    </w:p>
    <w:p w14:paraId="3C41CED8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43A91AE5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25/07/2019</w:t>
      </w:r>
    </w:p>
    <w:p w14:paraId="4979A8A5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5B479988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Jatropha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curcas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é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uma espécie da família das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Euphobiaceas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 grande valor biotecnológico uma vez que o óleo acumulado na semente pode ser utilizado como fonte alternativa para produção de biodiesel. Entretanto, este tecido também acumula toxinas como o éster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forbol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(EF). Atualmente existe pouca informação sobre sua via de síntese, mas sabe-se que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casbeno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sintase (CS) é uma enzima chave desta via. O objetivo deste trabalho foi desenvolver métodos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proteômicos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alvo direcionados para investigação da presença e abundância de enzimas específicas da via de síntese do EF, além de enzimas envolvidas no metabolismo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diterpenos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em J.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curcas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Peptídeos sintéticos isotopicamente marcado (PSIM) correspondentes aos peptídeos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proteotípicos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das enzimas alvo foram sintetizados para otimização do método, identificação e quantificação relativa dos peptídeos endógenos alvo. Amostras de raiz, endosperma, folha de dois genótipos de J.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curcas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uma contendo alto teor de éster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forbol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(ATEF) e outra contendo teores mais baixos (BTEF) foram analisadas. Para o preparo das amostras, o extrato proteico desses tecidos foi reduzido com DTT, alquilado com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iodoacetamida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digerido com tripsina. A análise foi realizada no sistema EASYII-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nLC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Proxeon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) ou EASY1000-nLC (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Thermo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Scientific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acoplado ao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nESI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-TSQ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Quantiva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(SRM) ou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nESI-QExactive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Plus (PRM) (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Thermo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Scientific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). Os dados obtidos foram analisados com os softwares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Xcalibur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v. 2.2 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Skyline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v. 4.2. A análise mostrou que grande parte das enzimas alvo foram identificadas em raiz, mostrando a importância deste tecido na síntese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diterpenos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tetracíclicos e giberelinas. Apenas uma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isoforma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CS aumenta sua abundância no genótipo ATEF. Além disso, observou-se uma maior abundâncias das enzimas da via de síntese de giberelinas no genótipo BTEF. Em folha, foram identificadas uma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isoforma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giberelina 20 oxidase e uma candidata a álcool desidrogenase. Entretanto, nenhum dos alvos monitorados neste trabalho foram identificados em endosperma. Os resultados reforçam a hipótese de que a síntese de EF ocorre em raiz e que metabólitos intermediários desta via ou até mesmo o EF são transportados para outros tecidos da planta como, por exemplo as sementes.</w:t>
      </w:r>
    </w:p>
    <w:p w14:paraId="64D9DD35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15081C30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Jatropha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curcas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L;Diterpenos;Éster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forbol;Casbeno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sintase;Proteômica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alvo-direcionada</w:t>
      </w:r>
    </w:p>
    <w:p w14:paraId="732E206C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4B9EB7E9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Jatropha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curcas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Euphobiaceae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family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biotechnological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value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since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oil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accumulated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alternative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source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biodiesel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However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tissue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accumulates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toxins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phorbol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(PE).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Currently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few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informations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about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synthesis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but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known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casbene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synthase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(CS)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key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project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targeted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proteomic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methods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investigate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abundance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synthesis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besides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metabolism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diterpenes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J.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curcas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Isotopically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labeled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synthetic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(ILSP)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corresponding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proteotypic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synthesized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method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optimization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identification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relative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quantification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endogenous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Root,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endosperm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leaf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samples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genotypes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J.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curcas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high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levels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phorbol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(HLPE)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lower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contents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(LLPE)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analyzed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For sample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preparation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extract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tissues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DTT,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alkylated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iodoacetamide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digested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trypsin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EASYII-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nLC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Proxeon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EASY1000-nLC system (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Thermo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Scientific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coupled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Quantiva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nESI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-TSQ (SRM)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nESI-QExactive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Plus (PRM) (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Thermo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Scientific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). The data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analyzed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softwares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Xcalibur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v. 2.2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Skyline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v. 4.2. The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large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part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identified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roots,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importance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tissue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synthesis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tetracyclic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diterpenes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gibberellins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Only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isoform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abundance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HLPE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genotype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addition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greater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abundancy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gibberellin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synthesis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LLPE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genotype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observed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isoform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gibberellin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20 oxidase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alcohol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dehydrogenase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candidate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identified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leaf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However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none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monitored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identified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endosperm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support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hypothesis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synthesis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occurs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root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intermediary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metabolites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even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 are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transported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other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tissues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seeds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2302360B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26E01A04" w14:textId="77777777" w:rsidR="00D6029A" w:rsidRPr="00D6029A" w:rsidRDefault="00D6029A" w:rsidP="00D6029A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Jatropha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curcas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L;Diterpenoids;Phorbol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ester;Casbenoe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synthase;Targeted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proteomics</w:t>
      </w:r>
      <w:proofErr w:type="spellEnd"/>
    </w:p>
    <w:p w14:paraId="2C3A1A2B" w14:textId="4C0ABB36" w:rsidR="00D6029A" w:rsidRDefault="00D6029A"/>
    <w:p w14:paraId="0E0A4548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3B108976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Expressão e purificação do domínio 2 dos receptores 1 e 3 dos fatores de crescimento vascular e endotelial: estudos de interação com o peptídeo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anti-VEGF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(DGA)PCAIWF por RMN.</w:t>
      </w:r>
    </w:p>
    <w:p w14:paraId="04765773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4B05999D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BIANCA RIZO VENTURA GUSMAO</w:t>
      </w:r>
    </w:p>
    <w:p w14:paraId="30E2F6C6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0E21E280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DISSERTAÇÃO</w:t>
      </w:r>
    </w:p>
    <w:p w14:paraId="44FAF070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69E6CB68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GUSMÃO, B.R.V.</w:t>
      </w:r>
    </w:p>
    <w:p w14:paraId="56164300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2F153842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03/05/2019</w:t>
      </w:r>
    </w:p>
    <w:p w14:paraId="5C1C0CF9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3B2A93DC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 interação entre os fatores de crescimento vascular e endotelial (VEGF) e seus receptores (VEGFR) ocorrem de forma específica gerando propriedades biológicas distintas, dentre elas a angiogênese fisiológica e patológica. Os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VEGFRs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são formados por sete domínios extracelulares do tipo Imunoglobulina, uma região transmembrana e intracelular contendo o domínio tirosina quinase. Os domínios 1, 2 e 3 são importantes para a interação com os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VEGFs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especialmente o domínio 2 (D2), sendo este o alvo no desenvolvimento de fármacos. As terapias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anti-angiogênicas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disponíveis focam na neutralização da interação entre o VEGF e seus receptores ou nas vias ativadas por eles, entretanto, o desafio tem sido evitar a resistência observada aos fármacos já disponíveis. Neste contexto, estudos têm focado no desenho de pequenas moléculas inibitórias para regiões específicas dos receptores. Estudos identificaram o peptídeo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anti-angiogênico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(DGA)PCAIWF como específico para a interação com o VEGFR3- D2, entretanto, ensaios biológicos mostraram que este tem a capacidade de evitar a neovascularização e retinopatias na presença dos três tipos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VEGFRs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sugerindo que os receptores possuem um sítio de ligação comum. Desta forma, estudos estruturais visando a interação dos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VEGFRs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este peptídeo podem ser essenciais para o entendimento da via de sinalização dos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VEGFs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bem como, para o desenvolvimento de novas drogas. Assim, este trabalho tem como objetivo estudar a estrutura do domínios 2 dos VEGFR1 (VEGFR1-D2) e VEGFR3 (VEGFR3-D2) e a interação dos mesmos com o peptídeo (DGA)PCAIWF por Ressonância Magnética Nuclear (RMN). As construções contendo os genes que codificam os VEGFR1-D2 e VEGFR3-D2 foram cedidas pelo Prof. Ricardo Giordano, colaborador deste trabalho, assim como o peptídeo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anti-VEGF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(DGA)PCAIWF. Para o VEGFR3-D2 foram realizados testes de expressão em diferentes condições. A expressão ótima deste receptor em meio LB e M9 foi alcançada em cepas de E. coli BL21(DE3) a 37ºC com indução em D.O600nm 0,7 com 0,2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IPTG por 4 h.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celular mostrou a produção de VEGFR3-D2 na fração solúvel e insolúvel. Inicialmente realizamos a purificação da proteína presente na fração solúvel através de cromatografia de afinidade à níquel. Entretanto, estudos realizados através de espectros </w:t>
      </w: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 xml:space="preserve">de 1D-1H RMN mostraram que a proteína não estava enovelada. Assim, o VEGFR3- D2 presente na fração insolúvel foi purificado e diversos protocolos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refolding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foram testados para a obtenção da proteína de interesse. Entretanto, os espectros 1D-1H RMN das amostras obtidas mostraram que não foi possível obter o VEGFR3-D2 enovelado, impossibilitando os estudos de interação com o peptídeo para este receptor. O VEGFR1-D2 foi expresso na fração insolúvel,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re-enovelado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purificado segundo protocolos descritos anteriormente com pequenas alterações. A melhor condição de expressão foi obtida em cepas de E. coli BL21(DE3) a 37°C e indução em D.O600nm 0.7 com 1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IPTG por 4 h. Após duas cromatografias de afinidade à níquel, diversos protocolos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refolding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uma cromatografia de exclusão molecular foi possível obter o VEGFR1-D2 enovelado para os estudos estruturais. Os espectros 1H-15N-HSQC da proteína foram adquiridos em um espectrômetro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Bruker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Avance 800 MHz em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5,7 e 7,3. e o assinalamento foi realizado através da comparação de dados gerados anteriormente para este receptor (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Starovasnik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et al., 1999). Para o assinalamento do peptídeo (DGA)PCAIWF foram realizados experimentos de TOCSY e NOESY em um espectrômetro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Bruker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Advance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800 MHz nos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5,7 e em espectrômetro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Bruker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Advance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em pH 7,3. Os estudos de interação por RMN do VEGFR1-D2 livre e ligado ao peptídeo foram realizados através da análise da perturbação do deslocamento químico (CSP) utilizando os espectros de 1H-15N HSQC. Estes resultados indicaram que a interação ocorreu apenas em pH 7,3 e os resíduos que mostraram o maior CSP foram E150, I202, G203, G213, H214, L215 e I229. Os estudos de interação VEGFR1-D2 livre e ligado ao peptídeo na presença do gadolínio (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mostraram que houve alteração da intensidade do sinal para os resíduos Val 136,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Glu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137,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138,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Glu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144,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Cys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158, Ser 162, Ile 165,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166, Leu 174,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175, Lys 182, Ile 194,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Arg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196, Lys 200,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Cys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207, His 214, Leu 215, Ile 229. Estes dados sugerem que estes resíduos podem estar ligados direta ou indiretamente ao VEGFR1-D2. A análise dos dados de interação obtidos nos dois ensaios mostram que os resíduos, H214, L215 e I229 são monitorados sugerindo que estes três resíduos estejam envolvidos diretamente na interação entre o domínio 2 do VEGFR1 e o peptídeo (DGA)PCAIWF. É interessante notar que a região monitorada no domínio 2 deste receptor não está envolvida na ligação direta ao VEGF podendo ser este o domínio comum de ligação dos diferentes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VEGFRs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Este resultado pode levar a novos estudos para o desenvolvimento de novos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peptidomiméticos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anti-VEGFs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6B772BDF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55DAF8C1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Estrutura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proteínas;Fatores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crescimento vascular 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endotelial;Peptídeos;Câncer;Ressonância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Magnética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Nuclear;Phage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Display;Angiogênese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4C85EFEF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49528C46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The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affinity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between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vascular endotelial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growth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factors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(VEGF)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receptors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(VEGFR)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quite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leading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distinguish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biological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properties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physiological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pathological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angiogenesis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VEGFRs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consists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extracellular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immunoglulin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-like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domains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transmembrane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intracllular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wich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tyrosine-kinase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domain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Domains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1, 2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 are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key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factors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VEGF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particularly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domain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 (D2),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Available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anti-angiogenic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therapies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foccused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neutralizing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between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receptors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paths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activated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however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overcome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resistance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already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observed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currently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available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drugs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major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concern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field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sense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researches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foccused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design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small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inihibtory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molecules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could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target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receptor sites.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previous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identified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anti-angiogenic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(DGA)PCAIWF 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VEGFR-3,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however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biological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experiments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revelead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sintetic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inhibit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neovascularization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retinopathy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targeting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three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VEGFRs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suggesting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receptors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share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common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site.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directed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could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provide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essecial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information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understand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VEGFs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signaling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pathway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for new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dugs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Therefore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goal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VEGFR1 (VEGFR1-D2)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VEGFR3 (VEGFR3- D2)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domains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(DGA)PCAIWF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Nuclear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Magnetic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Resonance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(NMR).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Constructs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encoding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VEGFR1-D2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VEGFR3-D2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sent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Prof. Ricardo Giordano,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collaborator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well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anti-VEGF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(DGA) PCAIWF. VEGFR3-D2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tests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conditions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Optimum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receptor in LB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M9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achieved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E. coli BL21 (DE3)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37 °C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DO0.600nm 0.7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0.2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IPTG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 h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growth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lysis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soluble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insoluble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VEGFR3-D2.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First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soluble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fraction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purification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nickel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affinity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chromatography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Still,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carried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out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1D-1 H NMR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spectra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revealed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enveloped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VEGFR3-D2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insoluble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fraction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purified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refolding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protocols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tested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sample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However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samples 1D-1H NMR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spectra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refolded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VEGFR3-D2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could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possible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receptor. VEGFR1-D2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insoluble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fraction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refolded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purified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according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previously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described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protocols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few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changes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best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expression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condition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E. coli BL21 (DE3)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37 ° C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DO0.600nm 0.7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IPTG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 h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growth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After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nickel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affinity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chromatographies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various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refolding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protocols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molecular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exclusion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chromatography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refolded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VEGFR1-D2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could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1H-15N-HSQC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spectra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acquired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Bruker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Avance 800 MHz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spectrometer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pH 5.7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7.3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asignment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achived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trought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comparison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previously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data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receptor. TOCSY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NOESY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experiments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Bruker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Advance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800 MHz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spectrometer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5.7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Bruker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Advance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600 MHz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pH 7.3 for (DGA)PCAIWF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NMR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VEGFR1- D2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VEGFR1-D2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chemical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shift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perturbation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(CSP)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1H-15N HSQC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spectra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indicate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occurred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pH 7.3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residues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highest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CSP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E150, I202, G203, G213, H214, L215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I229. Other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carried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presence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gadolinium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free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bound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VEGFR1-D2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changes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signal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intensity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residues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Val 136,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Glu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137,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138,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Glu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144,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Cys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158, Ser 162, Ile 165 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166, Leu 174,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175, Lys 182, Ile 194,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Arg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196, Lys 200,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Cys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207, His 214, Leu 215, Ile 229.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data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suggests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residues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migh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directly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indirectly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VEGFR1-D2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data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assays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shows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residues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H214, L215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I229 are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monitored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suggesting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three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residues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directly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between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domain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VEGFR1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(DGA)PCAIWF.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analisys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assays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shows H214, L215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I229 as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residues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directly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interaction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between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VEGFR1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(DGA)PCAIWF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domain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Interestingly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region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monitored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domain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receptor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directly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VEGF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might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common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binding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domain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distinct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VEGFRs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might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lead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further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studies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new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anti-VEGF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peptidomimetics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development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7EDC3B35" w14:textId="77777777" w:rsidR="00D6029A" w:rsidRPr="00D6029A" w:rsidRDefault="00D6029A" w:rsidP="00D6029A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61D86207" w14:textId="77777777" w:rsidR="00D6029A" w:rsidRPr="00D6029A" w:rsidRDefault="00D6029A" w:rsidP="00D6029A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Estrutura de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proteínas;Fatores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crescimento vascular e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endotelial;Peptídeos;Câncer;Ressonância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Magnética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Nuclear;Phage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Display;Angiogênese</w:t>
      </w:r>
      <w:proofErr w:type="spellEnd"/>
      <w:r w:rsidRPr="00D6029A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5DC0B42C" w14:textId="44CCD154" w:rsidR="00D6029A" w:rsidRDefault="00D6029A"/>
    <w:p w14:paraId="39EFDBCF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41D071CA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PRÉ-TRATAMENTO BIOLÓGICO DA PALHA DE CANA-DE-AÇÚCAR E POSTERIOR ASSOCIAÇÃO AO TRATAMENTO ÁCIDO OU HIDROTÉRMICO PARA A OBTENÇÃO DE GLICOSE.</w:t>
      </w:r>
    </w:p>
    <w:p w14:paraId="74AA17D7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3C617B8E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BRUNO CESAR DA SILVA COELHO</w:t>
      </w:r>
    </w:p>
    <w:p w14:paraId="02CDD885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2DF8294E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DISSERTAÇÃO</w:t>
      </w:r>
    </w:p>
    <w:p w14:paraId="245557A7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791062A1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COELHO, B.C.S.</w:t>
      </w:r>
    </w:p>
    <w:p w14:paraId="04A4A6D7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3BA12C65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22/03/2019</w:t>
      </w:r>
    </w:p>
    <w:p w14:paraId="3130F190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3DAFF71B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As principais etapas para a produção de etanol de segunda geração são: pré-tratamento da biomassa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lignocelulósica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hidrólise enzimática da biomassa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pré-tratada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fermentação dos açúcares a etanol e destilação. O pré-tratamento tem como objetivo aumentar a disponibilidade e a digestibilidade enzimática da celulose, acarretando em uma maior obtenção de glicose. Sua efetividade pode ser analisada através da alteração da composição química da biomassa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pré-tratada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do aumento da concentração de glicose obtida durante a hidrólise enzimática. Os pré-tratamentos ácido (PTA) e hidrotérmico (PTH), já utilizados industrialmente, têm como finalidade hidrolisar e solubilizar a fração hemicelulósica, enquanto o pré-tratamento biológico (PTB) tem como objetivo remover a lignina da biomassa. O presente trabalho teve como objetivo avaliar o PTA, PTH e PTB da palha de cana-de-açúcar para posterior associação entre os mesmo. A associação tem como finalidade promover a remoção combinada da hemicelulose e lignina, aumentando a disponibilidade da celulose na amostra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pré-tratada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Nas condições realizadas no presente trabalho, foi observado que </w:t>
      </w:r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 xml:space="preserve">entre o PTA e o PTH, o PTH foi mais eficiente em aumentar a digestibilidade enzimática da celulose. Ao avaliarmos amostras de palha corta e moída, resultados comparativos foram obtidos, tanto em relação à composição química das amostras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pré-tratadas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quanto em relação à digestibilidade enzimática. Com isso, todos os experimentos posteriores foram realizados com a palha cortada e o PTH foi selecionado para associação com o PTB. Em seguida, sete linhagens fúngicas foram avaliadas para a promoção do PTB, através da quantificação da perda mássica proporcionada por cada fungo, uma vez que a perda mássica pode ser relacionada à remoção de componentes estruturais da parede celular. Dentre os fungos avaliados, as linhagens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Gloeophyllum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trabeum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Phanerochaete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chrysosporium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Pleurotus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ostretus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foram selecionados por terem proporcionado perda mássica de 26%; 24,8% e 13,3%, respectivamente. Durante o PTB, P.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chrysosporium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G.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trabeum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apresentaram maior seletividade para remoção dos polissacarídeos do que para a lignina, enquanto que P.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ostreatus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apresentou elevada seletividade para remoção da lignina, em relação à celulose. Além disso, a amostra tratada com P.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ostreatus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resultou em maior rendimento de glicose na hidrólise enzimática. Análises de microscopia confocal de fluorescência corroboraram os resultados obtidos, pois foi possível observar o aumento dos poros e a maior disponibilidade de celulose nas amostras tratadas com P.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ostreatus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Sendo assim, P.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ostreatus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foi selecionado a ser associado ao PTH (PTBH). Ao realizar a associação do PTB seguido do PTH (170°C por 40 min), foi observado que a remoção da hemicelulose foi potencializada após a remoção da lignina proporcionada pelo PTB. Após constatar o benefício da associação, um conjunto de experimentos foi avaliado para determinar se, através da associação PTBH, seria possível diminuir a severidade da etapa de PTH, através do uso de condições mais brandas de tempo e temperatura. Com isso, ao realizar o PTH a 160 °C por 40 min, após a realização do PTB, foi possível obter um rendimento em glicose equivalente a 78%, sendo superior aos rendimentos obtidos com o PTH realizado isoladamente por 40 min a 170°C e 160°C, que resultaram em rendimento de 68,3% e 65,7%, respectivamente. Assim, realizar a associação do PTB seguido do PTH se mostrou uma alternativa para a redução da severidade do PTH e para aumentar o rendimento de conversão de celulose em glicose.</w:t>
      </w:r>
    </w:p>
    <w:p w14:paraId="22A79FD3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13AB3367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Biomassa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lignocelulósica;Pré-tratamento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biológico;Palha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 cana-de-açúcar</w:t>
      </w:r>
    </w:p>
    <w:p w14:paraId="29DFB06A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057F9C9E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The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main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steps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second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generation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ethanol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are: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pretreatment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lignocellulosic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biomass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enzymatic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hydrolysis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pretreated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biomass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fermentation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sugars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ethanol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distillation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pretreatment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availability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enzymatic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digestibility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cellulose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leading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higher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glucose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yields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Its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effectiveness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analyzed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modifications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chemical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composition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pretreated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biomass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glucose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yields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enzymatic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hydrolysis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acid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(APT)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hydrothermal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(HPT)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already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industrially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hydrolyze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solubilize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hemicellulosic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fraction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while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biological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pretreatment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(BPT)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goal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remove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lignin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biomass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objective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APT, HPT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BPT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sugarcane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straw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their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subsequent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promote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combined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removal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hemicellulose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lignin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increasing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availability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cellulose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pretreated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sample.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conditions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between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APT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HPT,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HPT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more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efficient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increasing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enzymatic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digestibility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cellulose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When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evaluating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samples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straw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milled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comparative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chemical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composition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enzymatic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digestibility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pretreated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samples.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subsequent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experiments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samples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HPT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selected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BPT.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fungal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promotion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BPT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quantifying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mass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loss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provided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each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fungus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parameter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removal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components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wall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Among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fungi,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Gloeophyllum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trabeum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Phanerochaete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chrysosporium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Pleurotus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ostretus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selected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because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provided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mass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loss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26%; 24.8%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13.3%,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respectively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During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BPT, P.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chrysosporium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trabeum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higher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selectivity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removal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polysaccharides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lignin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while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ostreatus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high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selectivity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lignin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removal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comparison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cellulose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addition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sample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ostreatus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a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higher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glucose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yield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enzymatic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hydrolysis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confocal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fluorescence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microscopy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corroborated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as it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possible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observe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pores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greater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availability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cellulose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samples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ostreatus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P.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ostreatus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selected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PTH (BHPT). When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performing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BPT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followed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HPT (170 °C for 40 min),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removal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hemicellulose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after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removal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lignin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provided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BPT.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After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establishing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benefit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a set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experiments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conducted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BHPT, it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would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possible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decrease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severity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HPT,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through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use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milder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conditions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time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temperature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when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HPT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160 °C for 40 min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after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BPT, a glucose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yield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equivalent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78%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being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higher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yields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HPT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carried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out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alone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40 min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170 °C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160 °C,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yield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68.3%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65.7%,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respectively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Thus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association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BPT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followed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HPT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alternative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reduction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PTH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severity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yield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cellulose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glucose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conversion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0BA7FF2A" w14:textId="77777777" w:rsidR="003C7F0C" w:rsidRPr="008B565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8B565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46F4B6B7" w14:textId="77777777" w:rsidR="003C7F0C" w:rsidRPr="008B565C" w:rsidRDefault="003C7F0C" w:rsidP="003C7F0C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Lignocellulosic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biomass;Biological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pretreatment;Sugarcane</w:t>
      </w:r>
      <w:proofErr w:type="spellEnd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8B565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straw</w:t>
      </w:r>
      <w:proofErr w:type="spellEnd"/>
    </w:p>
    <w:p w14:paraId="54D8B6E7" w14:textId="18ED9071" w:rsidR="003C7F0C" w:rsidRDefault="003C7F0C"/>
    <w:p w14:paraId="3834EECC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61B9CD6B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DIVERSIDADE MICROBIANA NA ÁGUA DE PRODUÇÃO DE UM CAMPO DE EXPLORAÇÃO PETROLÍFERA.</w:t>
      </w:r>
    </w:p>
    <w:p w14:paraId="300A5C63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188705A1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ARACELI DE SOUSA PIRES</w:t>
      </w:r>
    </w:p>
    <w:p w14:paraId="0EEFA5CB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1AB807FB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DISSERTAÇÃO</w:t>
      </w:r>
    </w:p>
    <w:p w14:paraId="2116FA9B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0998DEA9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PIRES, A. S.</w:t>
      </w:r>
    </w:p>
    <w:p w14:paraId="48A29E69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21A3F1A5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14/03/2019</w:t>
      </w:r>
    </w:p>
    <w:p w14:paraId="297A1611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4BAD5CD2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Um grave problema de saúde e segurança no trabalho, dentro de uma plataforma de petróleo, é decorrente da comunidade microbiana (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microbioma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que cresce em tanques de armazenamento e tubulações. Este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microbioma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tende a formar biofilmes altamente corrosivos, que obstruem tubulações e possuem resistência a antimicrobianos, além de abrigar muitas espécies produtoras de sulfeto. Portanto, é de extrema importância para a indústria compreender a diversidade filogenética deste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microbioma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para que medidas de controle e intervenção específicas possam ser devidamente planejadas. Um dos principais genes usados para identificação taxonômica de bactérias 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archaeas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é o gene do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rRNA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16S. O objetivo deste trabalho é caracterizar e comparar as regiões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hipervariáveis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do gene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rRNA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16S da comunidade microbiana existente na água de produção de um tanque de armazenamento da plataforma P-37 da PETROBRAS, a fim de conhecer a sua diversidade. O DNA genômico foi extraído de uma amostra de água e submetido à amplificação pela PCR, com primers customizados para amplificar diferentes regiões do gene. Os produtos amplificados foram sequenciados por dois tipos de sequenciadores Ion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Torrent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Thermo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Fisher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Scientific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HiSeq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2500 (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Illumina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). Como os protocolos para análise deste tipo de resultado estão em constante evolução, precisou-se fazer uma análise de qual fluxo de tratamento de dados seria mais apropriado para o caso em questão. Avaliou-se o programa a ser utilizado, a métrica para criação de unidades taxonômicas operacionais e o banco de dados para a atribuição da taxonomia. Foram gerados um total de 265.392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reads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pela plataforma Ion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torrent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139.930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reads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médios pelo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Illumina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O número de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OTU’s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criadas variou conforme o método escolhido. Dentre eles, o de referência aberta usando 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Greengenes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como banco de dados apresentou 1.781 e 1.082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OTU’s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pelo Ion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Torrent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Illumina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respectivamente. Quando comparados os bancos de dados, pelo SILVA há uma diferença de quase 15% a mais de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OTU’s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do que pelo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Greengenes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Há uma predominância de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Proteobactérias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que chegam a cerca de 40% do total analisado, cujos gêneros mais abundantes são Desulfovibrio,18,36%,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Desulfoplanes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14,19%, 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Pelobacter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11,28%, todas bactérias redutoras de sulfato. A última análise realizada foi com relação ao perfil funcional do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microbioma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Em torno de 1.5% dos genes previstos estão relacionados à degradação de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xenobióticos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incluindo os derivados do petróleo. Com base nesses dados, é possível montar o perfil do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microbioma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encontrado, buscar entender sua dinâmica populacional e, por fim, desenvolver estratégias adequadas ao controle dessa população.</w:t>
      </w:r>
    </w:p>
    <w:p w14:paraId="54CECB8A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1C635283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Microbiologia do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Petróleo;Sequenciamento;rRNA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16S;NGS;Microrganismos Redutores de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Sulfato;Corrosão</w:t>
      </w:r>
      <w:proofErr w:type="spellEnd"/>
    </w:p>
    <w:p w14:paraId="29613C37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124FCE8B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 xml:space="preserve">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serious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health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safety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problem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within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oil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platform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due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microbial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community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microbiome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grows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storage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tanks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pipelines.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microbiome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tends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highly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corrosive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biofilms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block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pipes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have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resistance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antimicrobials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addition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harboring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many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sulfide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It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therefore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utmost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importance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industry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understand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phylogenetic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diversity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microbiome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intervention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measures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properly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planned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main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taxonomic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identification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bacteria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archaeas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16S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rRNA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objective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characterize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compare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hypervariable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regions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16S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rRNA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microbial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community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existing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water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storage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tank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P-37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platform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PETROBRAS,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order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know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diversity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Genomic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DNA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extracted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water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sample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subjected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PCR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amplification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primers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customized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amplify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regions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amplified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sequenced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types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Ion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Torrent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Thermo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Fisher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Scientific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HiSeq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2500 (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Illumina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sequencers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protocols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type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constantly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evolving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it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necessary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make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flow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data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treatment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would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appropriate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case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question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It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program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metric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creation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operational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taxonomic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units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database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attribution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taxonomy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 total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265,392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reads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generated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Ion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torrent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platform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139,930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average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reads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Illumina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number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created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varied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according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method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chosen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Among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open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reference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Greengenes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database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1,781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1,082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Ion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Torrent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Illumina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respectively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When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databases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SILVA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almost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15% more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OTU's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Greengenes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predominance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Proteobacteria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about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40%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total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analyzed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whose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abundant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genera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Desulfovibrio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18,36%,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Desulfoplanes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14,19%,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Pelobacter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11,28%,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bacteria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sulfate.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last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functional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profile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microbiome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About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1.5%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predicted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genes are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related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degradation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xenobiotics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including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petroleum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derivatives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Based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data, it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possible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assemble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profile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microbiome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found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seek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understand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population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dynamics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finally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adequate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strategies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control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population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1AB365B1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6F50FDCE" w14:textId="77777777" w:rsidR="003C7F0C" w:rsidRPr="003C7F0C" w:rsidRDefault="003C7F0C" w:rsidP="003C7F0C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Microbiology;Oil;Sequencing;16S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rRNA;NGS;Reducing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Sulphate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Microorganisms;Corrosion</w:t>
      </w:r>
      <w:proofErr w:type="spellEnd"/>
    </w:p>
    <w:p w14:paraId="487C539B" w14:textId="64A03334" w:rsidR="003C7F0C" w:rsidRDefault="003C7F0C"/>
    <w:p w14:paraId="1DFA48C9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25C70E5A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PRODUÇÃO DE PEPTIDASES POR FERMENTAÇÃO EM ESTADO SÓLIDO PARA APLICAÇÃO EM DETERGENTES ENZIMÁTICOS DE USO HOSPITALAR</w:t>
      </w:r>
    </w:p>
    <w:p w14:paraId="607E6989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6CA39A9D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TAISSA FERREIRA DE OLIVEIRA SOUZA</w:t>
      </w:r>
    </w:p>
    <w:p w14:paraId="5B6F5DD0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5A6EDA3D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DISSERTAÇÃO</w:t>
      </w:r>
    </w:p>
    <w:p w14:paraId="69B742A7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36850178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SOUZA, T. F. O.</w:t>
      </w:r>
    </w:p>
    <w:p w14:paraId="27963BA7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497B2E17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14/03/2019</w:t>
      </w:r>
    </w:p>
    <w:p w14:paraId="15A3F995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4EAA78B5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As peptidases são enzimas que catalisam a hidrólise de ligações peptídicas. Essas enzimas têm como principal aplicação o setor de detergentes e dentro desse setor encontram-se os detergentes enzimáticos, que são utilizados na limpeza em ambiente hospitalar e de instrumentos cirúrgicos. O Brasil importa 86% das enzimas que utiliza. A implantação e o estudo de processos de produção de enzimas são essenciais para que o país diminua essa demanda de importação de enzimas. Nesse contexto, a fermentação em estado sólido (FES), é uma importante ferramenta, considerando o grande potencial agroindustrial do Brasil, já que essa técnica permite o uso de resíduos agroindustriais como substrato para o crescimento de microrganismos e produção de enzimas. O objetivo deste trabalho foi produzir peptidases por FES com o fungo filamentoso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Aspergillus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oryzae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usando resíduos da indústria de dendê como meio de cultivo e avaliar o potencial dessas enzimas para uma futura aplicação na formulação de detergentes enzimáticos de uso hospitalar. A FES foi realizada em reator do tipo bandeja contendo torta de dendê e fibra (70:30) por 72h a 30ºC. A extração das peptidases foi otimizada, por planejamento experimental DCCR, com o uso de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biossurfactante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ramnolipídeos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como agente coadjuvante no processo de extração. A concentração de 0,8% p/v de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ramnolipídeos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, em pH 5,8, na temperatura de 29ºC resultou em uma atividade proteolítica de 46,1 U/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(aumento de 300% em relação ao processo não otimizado). As peptidases produzidas por A.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oryzae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foram identificadas como sendo da classe serina 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metalopeptidases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 estabilidade deste das peptidases foi avaliada nas temperaturas de 30, 40, 50 e 60ºC por 2 horas. Nas temperaturas de 50 e 60ºC, estas peptidases perderam atividade, sendo o tempo de meia-vida calculado de 42 minutos para 50ºC. A estabilidade térmica destas enzimas na concentração de 10% v/v em dois detergentes enzimáticos comerciais, 3M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multienzimático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Lapzyme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4, também foi avaliada nas temperaturas de 40 e 50ºC durante 2 horas. Nas duas formulações, a atividade proteolítica diminuiu na temperatura de 50ºC, sendo o tempo de meia-vida obtido de 53 e 70 minutos para os detergentes 3M 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Lapzyme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4, respectivamente. Estas peptidases foram mais estáveis, em temperatura ambiente, ao longo de 45 dias de estocagem, quando adicionadas a formulação do detergente enzimático comercial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Lapzyme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4. Por fim, em um teste de lavagem de tecido de algodão o extrato enzimático foi mais eficiente na remoção de sangue do tecido do que os detergentes enzimáticos comerciais, 3M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multienzimático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Lapzyme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4, indicando, assim, o potencial das peptidases produzidas por FES para o uso na formulação de detergentes enzimáticos para limpeza hospitalar.</w:t>
      </w:r>
    </w:p>
    <w:p w14:paraId="7CE59EB4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10064F43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Peptidase;Fermentação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em estado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sólido;Aspergillus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oryzae;Dendê;Resíduo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agroindustrial;Detergente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enzimático;Limpeza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hospitalar</w:t>
      </w:r>
    </w:p>
    <w:p w14:paraId="5D1B7828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01DD86EE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Peptidases are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catalyze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hydrolysis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bonds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have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main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application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detergent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sector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within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sector are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enzymatic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detergents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hospital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cleaning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surgical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instruments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Brazil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86%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 uses.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implementation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study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processes are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essential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country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demand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context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solid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(SSF)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important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tool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considering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agroindustrial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Brazil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since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technique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allows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use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agroindustrial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substrate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growth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microorganisms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objective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peptidases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FES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filamentous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fungus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Aspergillus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oryzae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residues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palm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oil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industry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culture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medium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a future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application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enzymatic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detergents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hospital use. The SSF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type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reactor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containing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palm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fiber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pie (70:30) for 72h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30ºC.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extraction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peptidases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optimized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DCCR experimental design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use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biosurfactant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rhamnolipids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as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coadjuvant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agent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extraction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concentration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0.8% w/v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rhamnolipids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pH 5.8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29°C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proteolytic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46.1 U/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(300%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increase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over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non-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optimized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process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). The peptidases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oryzae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identified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serine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metallopeptidases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stability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peptidase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temperatures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30, 40, 50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60°C for 2 hours. At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temperatures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50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60 °C,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peptidases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lost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calculated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half-life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42 minutes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50 °C.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thermal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stability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10% v/v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concentration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commercial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enzymatic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detergents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3M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multienzimático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Lapzyme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evaluated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temperatures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40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50°C for 2 hours.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both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proteolytic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activity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decreased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50°C,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half-life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obtained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53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70 minutes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detergents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3M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Lapzyme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respectively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peptidases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stable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room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temperature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over 45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days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storage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when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commercial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detergent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Lapzyme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added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Finally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in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cotton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cloth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test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extract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efficient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removing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tissue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blood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commercial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3M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multienzimático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Lapzyme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4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detergents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indicating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potential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peptidases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SSF for use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detergent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formulation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hospital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cleaning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2A8DF742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23536B8F" w14:textId="77777777" w:rsidR="003C7F0C" w:rsidRPr="003C7F0C" w:rsidRDefault="003C7F0C" w:rsidP="003C7F0C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Peptidase;Solid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fermentation;Palm;Agroindustrial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waste;Enzymatic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detergent;Hospital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cleaning</w:t>
      </w:r>
      <w:proofErr w:type="spellEnd"/>
    </w:p>
    <w:p w14:paraId="793EA0C8" w14:textId="72AB1064" w:rsidR="003C7F0C" w:rsidRDefault="003C7F0C"/>
    <w:p w14:paraId="2A11E610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Título:</w:t>
      </w:r>
    </w:p>
    <w:p w14:paraId="0BB3CF74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Análise genômica e construção de mapa metabólico de cepa com interesse biotecnológico da bactéria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Paenibacillus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polymyxa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0C2A4E3D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4E083D5F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lastRenderedPageBreak/>
        <w:t>PRISCILA ESTEVES DE FARIA</w:t>
      </w:r>
    </w:p>
    <w:p w14:paraId="2D273CBB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555195E5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DISSERTAÇÃO</w:t>
      </w:r>
    </w:p>
    <w:p w14:paraId="35F0425E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5D2ED142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FARIA, P. E.</w:t>
      </w:r>
    </w:p>
    <w:p w14:paraId="681ECB42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00688D9B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25/02/2019</w:t>
      </w:r>
    </w:p>
    <w:p w14:paraId="460D12A1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7E90817A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 bactéria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Paenibacillus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polymyxa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foi um dos microrganismos utilizados pioneiramente na produção do 2,3-butanodiol (2,3-BDO), álcool que possui vasta aplicação industrial. Apesar do 2,3-BDO ser um conhecido produto do metabolismo microbiano, sua função biológica e quais condições levam a sua produção ainda não são bem elucidadas. Atualmente, a rota biotecnológica de geração do 2,3-BDO vem sendo amplamente estudada, a fim de substituir rotas derivadas de combustíveis fósseis. Dentro desse contexto, é também importante conhecer as características metabólicas deste microrganismo. Com isto, o presente trabalho visa elaborar um mapa metabólico da cepa PM3605 de P.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polymyxa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baseado em dados computacionais e em seus perfis de crescimento e geração de produtos em diferentes fontes de carbono (glicose, xilose e glicerol); e compreender a diversidade enzimática envolvida na geração do 2,3-BDO em diferentes bactérias. A cepa de P.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polymyxa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apresentou diferentes perfis de crescimento em cada uma das fontes de carbono. As análises de HPLC indicaram, ainda, que a maior geração de produtos fermentativos aconteceu em glicose (85% do rendimento teórico) e a produção do 2,3-BDO foi considerável também em xilose, mas não em glicerol. Quanto ao mapeamento metabólico, foi encontrada mais de uma forma de assimilação das fontes de carbono em P.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polymyxa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. Por outro lado, oito enzimas não foram encontradas, sugerindo a carência da via de reposição de glutationa reduzida, e de vias fermentativas de etanol, acetato,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succinato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D-lactato e 1,3-propanodiol, além de uma via de catabolismo de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acetoína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na cepa PM3605. Por fim, a análise da diversidade enzimática envolvida na produção do 2,3-BDO em diferentes bactérias apontou características estruturais e funcionais determinantes para o reconhecimento diferencial do substrato por duas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butanodiol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desidrogenases com mesma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estereoespecificidade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Como conclusão, os dados destacam PM3605, uma cepa segura, como equiparável a outras cepas utilizadas na produção microbiológica do 2,3-BDO e ressaltam enzimas essenciais para esse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bioprocesso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08C42F7E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695EA626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Paenibacillus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polymyxa;2,3-butanodiol;bioinformática</w:t>
      </w:r>
    </w:p>
    <w:p w14:paraId="6F18F48A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2B6A5230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bacterium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Paenibacillus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polymyxa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first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microorganisms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2,3-butanediol (2,3-BDO),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wide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range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industrial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applications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Nowadays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biotechnological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2,3-BDO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significance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alternative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replacement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fossil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fuel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derived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routes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However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even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though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2,3-BDO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known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microorganism’s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metabolism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its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biological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function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which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conditions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lead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its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are still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well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understood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Within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aims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elaborate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model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polymyxa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PM3605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based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computacional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forecasting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growth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fermentative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three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carbon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sources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(glucose,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xylose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glycerol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);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elucidate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diversity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implicated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2,3-BDO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bacteria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growth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profiles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each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carbon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source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HPLC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indicated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major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fermentative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glucose (85%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maximum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theoretical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yield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xylose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but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glycerol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metabolic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mapping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routes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assimilation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each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carbon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source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P.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polymyxa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other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eight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not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found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suggesting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absence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ethanol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acetate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succinate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, D-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lactate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1,3-propanediol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fermentations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acetoin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catabolism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reduced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glutathione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reposition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PM3605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diversity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implicated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2,3-BDO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bacteria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analysis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presented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imperatives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structural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functional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features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differential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recognition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substrates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two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butanediol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dehydrogenases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same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stereospecificity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conclusion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data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PM3605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non-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pathogenic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organism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comparable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other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strains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involved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microbial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2,3-BDO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highlighted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essential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enzymes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bioprocess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28DFBF40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2AB8BC7D" w14:textId="77777777" w:rsidR="003C7F0C" w:rsidRPr="003C7F0C" w:rsidRDefault="003C7F0C" w:rsidP="003C7F0C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Paenibacillus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polymyxa;2,3-butanediol;bioinformatics</w:t>
      </w:r>
    </w:p>
    <w:p w14:paraId="4CD3B19F" w14:textId="14AA7874" w:rsidR="003C7F0C" w:rsidRDefault="003C7F0C"/>
    <w:p w14:paraId="7C245681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lastRenderedPageBreak/>
        <w:t>Título:</w:t>
      </w:r>
    </w:p>
    <w:p w14:paraId="19179218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A predição gênica do genoma de Triatoma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infestans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Klug, 1835</w:t>
      </w:r>
    </w:p>
    <w:p w14:paraId="384C66AE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Autor:</w:t>
      </w:r>
    </w:p>
    <w:p w14:paraId="660BF162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ELOY DA SILVA SEABRA JUNIOR</w:t>
      </w:r>
    </w:p>
    <w:p w14:paraId="73382413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Tipo de Trabalho de Conclusão:</w:t>
      </w:r>
    </w:p>
    <w:p w14:paraId="4BCCE72F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DISSERTAÇÃO</w:t>
      </w:r>
    </w:p>
    <w:p w14:paraId="0ECDE0B3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Abreviatura:</w:t>
      </w:r>
    </w:p>
    <w:p w14:paraId="0B31F8B7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JUNIOR, E. S. S.</w:t>
      </w:r>
    </w:p>
    <w:p w14:paraId="171F351D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Data da Defesa:</w:t>
      </w:r>
    </w:p>
    <w:p w14:paraId="23454898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22/02/2019</w:t>
      </w:r>
    </w:p>
    <w:p w14:paraId="33FEA565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Resumo:</w:t>
      </w:r>
    </w:p>
    <w:p w14:paraId="4B1BD3AE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Triatoma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infestans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é historicamente o mais importante vetor da doença de chagas, principalmente por causa da sua grande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antropofilia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O objetivo deste trabalho é produzir modelos confiáveis de genes de proteínas para o já sequenciado genoma de Triatoma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infestans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Predizer genes em um genoma de eucariotos é uma tarefa difícil, e modelos estatísticos específicos são necessários para cada espécie. A produção destes modelos é geralmente chamada de treinamento e depende de um conjunto de genes anotados manualmente e de boa qualidade. Este trabalho utilizou uma metodologia previamente desenvolvida neste grupo de pesquisa para encontrar genes cópia única e de alta qualidade de anotação a partir de sequências de CDS utilizando o software SIM4. A metodologia desenvolvida identifica os genes que codificam cada CDS, alinha o CDS com o genoma e classifica os alinhamentos em categorias relevantes (completos, 5’ truncados, 3’ truncados, fragmentados ou repetitivos) para o treinamento de programas de predição gênica. Esse procedimento resultou em 1147 alinhamentos completos de CDS que foram utilizados para o treinamento de softwares de predição. Três programas de predição gênica foram testados, MAKER, GENEID e Augustus. Os resultados foram comparados utilizando o programa BUSCO e demonstraram que o procedimento padrão do Augustus teve a melhor performance. Então este software foi selecionado para passos subsequentes de otimização como uma otimização estatística, do próprio pacote Augustus, e implementação de dados públicos de sequenciamento de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cDNA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A predição final resultou em 24489 produtos gênicos que compreendem 93.9% dos genes universalmente conservados e cópia única de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endopterigotos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Os resultados são próximos dos obtidos para as predições mais recentes de genoma de hemípteros, com 91.4% para Cimex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lectularius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 95.9% para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Halyomorpha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halys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1. Genômica. 2. Bioinformática. 3. Triatoma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infestans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. 4. Predição Gênica.</w:t>
      </w:r>
    </w:p>
    <w:p w14:paraId="059498B3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Palavras-chave:</w:t>
      </w:r>
    </w:p>
    <w:p w14:paraId="30B2C061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Genômica;Bioinformática;Triatoma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infestans;Predição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Gênica</w:t>
      </w:r>
    </w:p>
    <w:p w14:paraId="548B094D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Abstract:</w:t>
      </w:r>
    </w:p>
    <w:p w14:paraId="74F0B46C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Triatoma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infestans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historically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important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vector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Chagas’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disease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mainly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due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it’s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great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antrophily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Our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goal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work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reliable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protein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 models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already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sequenced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genome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vector.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Predicting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genes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eukaryotes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’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genome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difficult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task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specific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statistical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models are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needed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each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species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such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statistical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models are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usually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called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“training”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relies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set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manually-annotated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good-quality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genes.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 pipeline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previously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find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high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quality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single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copy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putative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full-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length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coding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sequences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(CDS)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transcriptomic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data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SIM4 software.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developed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pipeline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identifies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gene(s)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coding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each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CDS,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classifies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relevant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categories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(full-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length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5'-truncated, 3'-truncated,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fragmented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repetitive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) for training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prediction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software.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procedure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a set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1147 full-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length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CDS-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genome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alignments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training procedure.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tried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three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prediction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approaches,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Maker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Cantarel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et al., 2008), GENEID (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Guigó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et al., 1992)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Augustus (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Stanke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et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Waack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2003).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benchmarked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using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BUSCO software (Simão et al., 2015)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showing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that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Augustus standard pipeline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performed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better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this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protocol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was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selected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,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following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improvement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steps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Augustus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statistics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optimization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pipeline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also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with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implementation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RNAseq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evidence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data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from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public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sources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. The final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prediction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in 24489 gene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products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whose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comprise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93.9%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of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BUSCO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endopterygota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universally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conserved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single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copy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genes. The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results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were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close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to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the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most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recent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Hymenoptera’s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genome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predictions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as 91.4% BUSCOS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found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Cimex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lectularius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and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95.9 % BUSCOS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found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for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Halyomorpha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halys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.</w:t>
      </w:r>
    </w:p>
    <w:p w14:paraId="51469130" w14:textId="77777777" w:rsidR="003C7F0C" w:rsidRPr="003C7F0C" w:rsidRDefault="003C7F0C" w:rsidP="003C7F0C">
      <w:pP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r w:rsidRPr="003C7F0C">
        <w:rPr>
          <w:rFonts w:ascii="Source Sans Pro" w:eastAsia="Times New Roman" w:hAnsi="Source Sans Pro" w:cs="Times New Roman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Keywords:</w:t>
      </w:r>
    </w:p>
    <w:p w14:paraId="1B3CC551" w14:textId="77777777" w:rsidR="003C7F0C" w:rsidRPr="003C7F0C" w:rsidRDefault="003C7F0C" w:rsidP="003C7F0C">
      <w:pPr>
        <w:pBdr>
          <w:bottom w:val="single" w:sz="12" w:space="1" w:color="auto"/>
        </w:pBdr>
        <w:spacing w:after="0" w:line="240" w:lineRule="auto"/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</w:pP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Genomic;Bioinformatics;Triatoma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infestans;Genic</w:t>
      </w:r>
      <w:proofErr w:type="spellEnd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3C7F0C">
        <w:rPr>
          <w:rFonts w:ascii="Source Sans Pro" w:eastAsia="Times New Roman" w:hAnsi="Source Sans Pro" w:cs="Times New Roman"/>
          <w:color w:val="000000"/>
          <w:sz w:val="20"/>
          <w:szCs w:val="20"/>
          <w:lang w:eastAsia="pt-BR"/>
        </w:rPr>
        <w:t>Prediction</w:t>
      </w:r>
      <w:proofErr w:type="spellEnd"/>
    </w:p>
    <w:p w14:paraId="5E1A8399" w14:textId="3A377340" w:rsidR="003C7F0C" w:rsidRDefault="003C7F0C"/>
    <w:p w14:paraId="65B96497" w14:textId="77777777" w:rsidR="003C7F0C" w:rsidRDefault="003C7F0C"/>
    <w:p w14:paraId="156667D8" w14:textId="77777777" w:rsidR="003C7F0C" w:rsidRDefault="003C7F0C"/>
    <w:sectPr w:rsidR="003C7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77"/>
    <w:rsid w:val="003C7F0C"/>
    <w:rsid w:val="009522E2"/>
    <w:rsid w:val="009809DE"/>
    <w:rsid w:val="00D6029A"/>
    <w:rsid w:val="00D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0099"/>
  <w15:chartTrackingRefBased/>
  <w15:docId w15:val="{C0B3C4A1-876A-4515-833C-3F4EE2B3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918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68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1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85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82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57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82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89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5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00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6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4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5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805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58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89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584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98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27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7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23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1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23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69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26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18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896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4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22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726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24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0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632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68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43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14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621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94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2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19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76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2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83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867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49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4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255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4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7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637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00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088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69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076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83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51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58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82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171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98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14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7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099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10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34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9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94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538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1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990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635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61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55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92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30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72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16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5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186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461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59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933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824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2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24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68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88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88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176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4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49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2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97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73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79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7055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27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343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53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05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53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703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54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547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30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294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12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1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89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1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4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7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68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027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58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923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58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53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6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69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789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12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5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5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94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5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20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536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70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9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77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6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16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343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8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49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01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527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7279</Words>
  <Characters>39309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Alexsandre Santos</dc:creator>
  <cp:keywords/>
  <dc:description/>
  <cp:lastModifiedBy>Alexsandre Santos</cp:lastModifiedBy>
  <cp:revision>2</cp:revision>
  <dcterms:created xsi:type="dcterms:W3CDTF">2021-08-21T18:09:00Z</dcterms:created>
  <dcterms:modified xsi:type="dcterms:W3CDTF">2021-08-21T18:34:00Z</dcterms:modified>
</cp:coreProperties>
</file>