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FB3A" w14:textId="75422E8D" w:rsidR="009809DE" w:rsidRDefault="00054790">
      <w:r>
        <w:t>TESES 2017</w:t>
      </w:r>
    </w:p>
    <w:p w14:paraId="0DC12F1C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4739080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Escalonamento da purificação, estudo estrutural e formulação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 de Saccharomyces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cerevisiae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clonada e expressa em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Pichia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pastoris.</w:t>
      </w:r>
    </w:p>
    <w:p w14:paraId="71F50F76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615F20CB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LUCIANA FACCHINETTI DE CASTRO GIRAO</w:t>
      </w:r>
    </w:p>
    <w:p w14:paraId="197A0090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78744E9B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20F8764A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76DEB099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GIRAO, L. F. C.</w:t>
      </w:r>
    </w:p>
    <w:p w14:paraId="5829D4DE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57D8291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18/08/2017</w:t>
      </w:r>
    </w:p>
    <w:p w14:paraId="1AACDBB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74755065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 principal medicamento para o tratamento da leucemia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linfocítica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aguda tem como princípio ativo a enzima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origem bacteriana. Apesar dos efeitos terapêuticos comprovados, esta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causa sérias reações adversas e imunológicas. O medicamento existente no mercado brasileiro é importado, existindo uma situação inadequada em relação ao abastecimento do produto pelo seu preço e dependência tecnológica. Sedimentada nas afirmações anteriores, a importância do estudo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proveniente de outras fontes se apresenta. Dentro deste contexto,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 do eucarioto Saccharomyces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cerevisiae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codificada pelo gene ASP3, apresenta potencial para uso terapêutico e estudos anteriores do grupo demonstraram sucesso na clonagem 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superexpressão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deste gene na levedura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Pichia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pastoris. O presente trabalho teve como objetivo determinar uma metodologia de purificação escalonável, estudar estruturalmente e formular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 de S.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cerevisiae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clonada e expressa em P. pastoris (ASP) visando à produção de um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biofarmaco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antileucêmico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metodologia de purificação passível de escalonamento envolveu duas etapas em sequência: cromatografia de interação hidrofóbica em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Phenyl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Sepharose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CL-4B e cromatografia de troca iônica em coluna Capto-Q, com recuperação de atividade enzimática de 66,1% e atividade específica da enzima de 336,9 UI/mg. Resultados de avaliação das modificações pós-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traducionais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indicaram que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não é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fosforilada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que possui duas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glicoformas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principais; os estudos de mudanças estruturais ocasionados por diferenças de temperatura e pH indicaram estabilidade na faixa de pH entre 6 e 10 e até 45 °C. Duas formulações foram desenvolvidas para a ASP: X-ASP, sob avaliação de viabilidade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patentária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 lipossomas. A formulação X-ASP se mostrou promissora por apresentar atividade antiproliferativa contra a linhagem de leucemia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mielóide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crônica K562 semelhante à da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livre. Para a linhagem de leucemia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linfocítica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aguda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Jurkhat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inibição foi semelhante em 48 h e superior em 72 h de ensaio. A resposta antiproliferativa da construção X-ASP contra a linhagem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Jurkhat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apesar de inferior à da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E. coli comercial em 48 h, foi similar em 72 h, indicando uma equivalência em termos de propriedades terapêuticas para tempos prolongados. Os resultados obtidos dão suporte a continuação da pesquisa visando o desenvolvimento de um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biofármaco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539A21E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5B12CA3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Pichia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pastoris;enzimas</w:t>
      </w:r>
      <w:proofErr w:type="spellEnd"/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terapêuticas;câncer;leucemia;purificação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enzimas;asparaginase</w:t>
      </w:r>
      <w:proofErr w:type="spellEnd"/>
    </w:p>
    <w:p w14:paraId="7AE4AE7E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3207040C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acute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lymphocytic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leukemia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configures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inadequate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situation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pricing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technological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dependence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Despite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proven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therapeutic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effectiveness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causes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immunological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motivating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interest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screaning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eukaryote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Saccharomyces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cerevisiae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coded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ASP3 gene,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candidate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purposes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our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laboratory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successfully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yeast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Pichia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pastoris.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scalable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methodology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cerevisiae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P. pastoris (ASP)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order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antileukemic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methodology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hydrophobic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Phenyl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Sepharose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CL-4B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exchange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Capto-Q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column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recovery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66.1%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336.9 IU/mg.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posttranslational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modifications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phosphorylated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major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glycoforms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motivated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differences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pH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pH range 6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45 °C.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ASP: X-ASP,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patentability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liposomes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X-ASP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antiproliferative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against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K562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chronic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myeloid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leukemia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free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Jurkhat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acute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lymphocytic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leukemia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48 h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72 h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antiproliferative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response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against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Jurkhat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though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inferior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E. coli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48 h,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72 h,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equivalence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terms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therapeutic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properties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prolonged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times.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support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continuation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biopharmaceutical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523305F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0A78CB1F" w14:textId="77777777" w:rsidR="005568B4" w:rsidRPr="005568B4" w:rsidRDefault="005568B4" w:rsidP="005568B4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asparaginase;Pichia</w:t>
      </w:r>
      <w:proofErr w:type="spellEnd"/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pastoris;therapeutic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enzymes;Cancer;leukemia;enzyme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purification</w:t>
      </w:r>
      <w:proofErr w:type="spellEnd"/>
    </w:p>
    <w:p w14:paraId="6B1A965A" w14:textId="7606FD11" w:rsidR="005568B4" w:rsidRDefault="005568B4"/>
    <w:p w14:paraId="3D52C28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2AFCD5E3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Obtenção, caracterização e formulação de um fator sanguíneo recombinante.</w:t>
      </w:r>
    </w:p>
    <w:p w14:paraId="40A6251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40E95246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ALINE GUIMARAES DE ALMEIDA</w:t>
      </w:r>
    </w:p>
    <w:p w14:paraId="5206116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4DD5C12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1C5FEC3B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26F65EF7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ALMEIDA, A. G.</w:t>
      </w:r>
    </w:p>
    <w:p w14:paraId="54A5E0CD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7AAE05B7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21/07/2017</w:t>
      </w:r>
    </w:p>
    <w:p w14:paraId="011E373E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7F39FF71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 Fator IX é uma proteína que atua no processo de coagulação sanguínea cuja deficiência causa uma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coagulopatia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denominada de hemofilia do tipo B. O tratamento é feito através da reposição do fator sanguíneo deficiente, seja de origem plasmática ou recombinante. Este trabalho teve como objetivo a produção do Fator IX recombinante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FIXr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utilizando células animais originadas da linhagem CHO, a sua purificação, caracterização da estrutura proteica comparativamente ao produto de referência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® e um estudo de formulação farmacêutica e estabilidade do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FIXr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As condições operacionais de cultivo das células CHO em biorreatores foram definidas no modo de batelada e batelada alimentada e foi identificado que o melhor tempo de adição da vitamina K no meio de cultivo, no modo de batelada, foi o 3º dia. O sobrenadante obtido desses cultivos (8 litros) foi submetido a duas etapas de purificação (troca aniônica e interação hidrofóbica) utilizando membranas acopladas em sequência, em vez de colunas empacotadas com as respectivas resinas, reduzindo o tempo de processamento do sobrenadante. Uma vez purificado, diversas técnicas de caracterização foram empregadas na comparação do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FIXr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obtido neste trabalho com o produto comercial de referência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®, os quais apresentaram resultados semelhantes. Amostras foram liofilizadas e armazenadas por 3 meses em diferentes temperaturas. Os resultados do estudo de formulação e estabilidade indicaram que 3 das formulações desenvolvidas neste trabalho apresentaram resultados comparáveis à formulação empregada no produto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®, quando utilizado o método de liofilização adaptado de Tang 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Pikal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armazenado à 4°C por 3 meses, após a liofilização. Adicionalmente, a avaliação da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transfecção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transiente com o gene da proteína p58 em células HEK-293 HP e CHO FN76 apresentam um maior nível de expressão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FIXr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quando comparado ao grupo controle, sugerindo ser esta uma estratégia promissora para o aumento da produtividade do FIX recombinante nessas células.</w:t>
      </w:r>
    </w:p>
    <w:p w14:paraId="6F097B8C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59D5AC0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Biofármacos;Fator</w:t>
      </w:r>
      <w:proofErr w:type="spellEnd"/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sanguíneo;Cultivo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células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animais;Biossimilares;Caracterização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proteínas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terapêuticas;Formulação;Liofilização;Estudo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estabilidade</w:t>
      </w:r>
    </w:p>
    <w:p w14:paraId="7534B63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023E847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Factor IX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plays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role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coagulation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deficiency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causes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haemophilia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replacement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deficient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either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plasma-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derived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purification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Factor IX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CHO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comparative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against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reference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®.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undertaken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bioreactor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operating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CHO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established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batch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batch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optimum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time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vitamin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K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batch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third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clarified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supernatant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(8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litres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underwent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exchange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hydrophobic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membrane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adsorbers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opposed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columns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packed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equivalent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time.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techniques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compare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reference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®,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Samples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freeze-dried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stored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3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months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comparable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®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freeze-drying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adapted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Tang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Pikal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stored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4ºC for 3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months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lyophilisation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Finally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transient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transfection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p58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HEK-293 HP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CHO FN76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FIX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negative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represent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FIX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productivity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336C9D1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68D2C58F" w14:textId="77777777" w:rsidR="005568B4" w:rsidRPr="005568B4" w:rsidRDefault="005568B4" w:rsidP="005568B4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Biopharmaceuticals;Blood</w:t>
      </w:r>
      <w:proofErr w:type="spellEnd"/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factor;Culture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animal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cells;Biosimilars;Characterization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therapeutic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proteins;Formulation;Freeze-drying;Stability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</w:p>
    <w:p w14:paraId="4976762D" w14:textId="60A08459" w:rsidR="005568B4" w:rsidRDefault="005568B4"/>
    <w:p w14:paraId="44813FF5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2D7F71F9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Produção de um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baseado na técnica de RNA de interferência para o controle do mosquito Aedes aegypti.</w:t>
      </w:r>
    </w:p>
    <w:p w14:paraId="0D441A61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08B4A23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SHEILA BARBARA GUTIERREZ LOPEZ</w:t>
      </w:r>
    </w:p>
    <w:p w14:paraId="14BF69C1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0E48C1D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18404B51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7596147A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LOPEZ, S. B. G.</w:t>
      </w:r>
    </w:p>
    <w:p w14:paraId="199C730D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21F66E66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17/05/2017</w:t>
      </w:r>
    </w:p>
    <w:p w14:paraId="05F60D2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4B628F2B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Os vírus da dengue,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chikungunya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zika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febre amarela causam doenças febris graves, que afetam regiões tropicais e subtropicais do mundo, levando à morbidez e à mortalidade. Estes vírus e outros agentes etiológicos de doenças graves são transmitidos pelo vetor mosquito Aedes aegypti. Uma das principais estratégias de controle tem sido o uso de inseticidas, mas o aumento da resistência do vetor aos diferentes compostos usados aponta a necessidade de mudar para estratégias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biorracionais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específicas da população de insetos alvo do controle. A quitina, polímero de N-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acetilglicosamina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abundante em estruturas importantes que garantem a sobrevivência, encontrada em todos os estágios do desenvolvimento dos insetos, é um bom alvo. As quitinas sintases A e B (CHS) são as enzimas chaves na biossíntese do polímero da quitina em tecidos de origem ectodérmica e matriz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peritrófica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respectivamente. Utilizando a técnica de RNA interferente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RNAi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é possível o silenciamento gênico específico, diminuindo desta forma a expressão da proteína alvo. O objetivo deste trabalho foi procurar uma alternativa biológica, delineando um possível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baseado na técnica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RNAi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para o controle da população do mosquito. Para isso, foram produzidos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vitro que tem como alvo cinco diferentes regiões nas sequências das CHS A e B. Para a produção do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vivo, as diferentes regiões alvo para cada CHS foram clonadas no vetor de expressão L4440 e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foi expresso na bactéria Escherichia coli cepa HT115 (deficiente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III), utilizando IPTG 1mM ou lactose 10 g/L. Foi verificada a atividade larvicida dos diferentes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produzidos in vitro, prova de conceito, e in vivo, colocando-os na água de criação de larvas L1. No grupo tratado com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produzido in vitro foi observada uma taxa de mortalidade significativa, 90%, associada à redução da expressão gênica das CHSA e B, de 50 e 80%, respectivamente. No tratamento com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produzido in vivo, o lisado bacteriano produzido mediante indução com IPTG 1mM e previamente inativado por choque térmico, observou-se uma mortalidade significativa, em torno de 40%, redução da expressão dos genes das CHSA e B em torno de 50%, assim como alterações </w:t>
      </w: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morfológicas que se mantiveram ao longo do desenvolvimento do inseto sobrevivente. Além disso, foi testada a capacidade adjuvante do lisado bacteriano produtor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em conjunto com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diflubenzuron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(DFB), um inibidor da síntese de quitina. Verificou-se efeito adjuvante, traduzido em maior mortalidade, quando administrado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conjunto com o DFB, sendo 1,7 vezes maior no que diz respeito à administração do DFB sozinho.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inativado com clorexidina e utilizando lactose 10 g/L para indução da expressão, mostrou também atividade larvicida e alterações no desenvolvimento do inseto, mesmo sendo administrado em estádios avançados da fase larval. Foi constatada uma diminuição do conteúdo de quitina na cutícula e no intestino das larvas tratadas com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inclusive, com duas doses menores de administração. Estes resultados apontam novas alternativas para a redução da população do mosquito. Pois, o produto desenvolvido nesse trabalho poderia ser usado sozinho ou em conjunto com outros inseticidas nas estratégias de controle de populações de vetores de doenças.</w:t>
      </w:r>
    </w:p>
    <w:p w14:paraId="1F1B38D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7260703C" w14:textId="6EF2C555" w:rsidR="005568B4" w:rsidRDefault="005568B4" w:rsidP="005568B4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Aedes </w:t>
      </w: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aegypti;inseticida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;controle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vetor;RNAi</w:t>
      </w:r>
      <w:proofErr w:type="spellEnd"/>
    </w:p>
    <w:p w14:paraId="211CDBA1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6B22769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Dengue,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chikungunya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zika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yellow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fever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viruses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etiological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responsible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high rate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morbidity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mortality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tropical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subtropical countries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transmitted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Aedes aegypti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mosquito´s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insecticide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mosquito’s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become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necessary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explore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biorrational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approaches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order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specifically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vector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Chitin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acetylglucosamine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good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biorrational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found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abundant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component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ensure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survival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stages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Chitin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synthases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 (CHS) are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key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biosynthesis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chitin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tissues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ectodermal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origin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peritrophic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matrix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use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RNA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interference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techniques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RNAi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achieve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knockdown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new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bioinsecticide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mosquito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synthetized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vitro,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targeting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CHSA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L4440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plasmids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ofdsRNAs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E. coli HT115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RNAse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deficient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IPTG 1mM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lactose 10 g/L.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Larvicidal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verified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vitro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concept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and,in</w:t>
      </w:r>
      <w:proofErr w:type="spellEnd"/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vivo,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placing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E. coli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lysate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L1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larvae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group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vitro,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90%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mortality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80%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CHSA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 gene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group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E. coli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lysate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1mM IPTG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inactivated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shock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exhibited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mortality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around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40%,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50 % CHSA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 gene expression.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Morphological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maintained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throughout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surviving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adjuvant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ability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lysate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dsRNAE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bioinsecticide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together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diflubenzuron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(DFB),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chitin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DFB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bioinsecticide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1.7 times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mortality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rate,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comparison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DFB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lactose 10 g / 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inactivated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chlorhexidine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evinced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larvicidal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delay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insect´s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even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administered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advanced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stages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larval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chitin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cuticle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bioinseticide-treated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larvae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even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doses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administration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microscopy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techniques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point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new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mosquito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alone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conjunction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insecticides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strategies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vector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242C8D85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5C3DFB29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Aedes </w:t>
      </w: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aegypti;insecticide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;vector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control;RNAi</w:t>
      </w:r>
      <w:proofErr w:type="spellEnd"/>
    </w:p>
    <w:p w14:paraId="72894D7B" w14:textId="77777777" w:rsidR="005568B4" w:rsidRPr="005568B4" w:rsidRDefault="005568B4" w:rsidP="005568B4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27CE5ABC" w14:textId="111096ED" w:rsidR="005568B4" w:rsidRDefault="005568B4"/>
    <w:p w14:paraId="0494B0E3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5752AE29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Análise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Proteômica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Quantitativa Aplicada a Modelos Celulares “in vitro” de Diferenciação Neuronal</w:t>
      </w:r>
    </w:p>
    <w:p w14:paraId="19F02F7E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2E5AAB06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JIMMY ESNEIDER RODRIGUEZ MURILLO</w:t>
      </w:r>
    </w:p>
    <w:p w14:paraId="675FCC22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6127351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TESE</w:t>
      </w:r>
    </w:p>
    <w:p w14:paraId="382C1C5A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0F488B9B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MURILLO, J. E. R.</w:t>
      </w:r>
    </w:p>
    <w:p w14:paraId="6D2063CA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0EA13C37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09/02/2017</w:t>
      </w:r>
    </w:p>
    <w:p w14:paraId="5A8FB8F6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56B78AEF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diferenciação neuronal é um processo celular altamente complexo e regulado. Diversos modelos de cultura celular in vitro permitem simplificar essa complexidade com o objetivo de estudar a função de proteínas ou das vias de sinalização específicas envolvidas nesse processo. Com o avanço significativo das técnicas de quantificação em larga escala e dos espectrômetros de massas, hoje é possível comparar os perfis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proteômicos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destas células em múltiplas fases de diferenciação e avaliar o impacto das modificações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pos-traducionais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nestes fenômenos. Neste trabalho, é proposta uma metodologia integrativa de quantificação por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iTRAQ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(marcadores isóbaros para quantificação relativa e absoluta), enriquecimento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fosfopeptideos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fracionamento por cromatografia de interação hidrofílica que é aplicada à análise da diferenciação neuronal em dois modelos celulares in vitro: células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neuroblastoma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humano SH-SY5Y e células tronco neuronais cultivadas em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neuroesferas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diferenciação das células SH-SY5Y com ácido retinóico e com o fator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neurotrófico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derivado de cérebro permitiu identificar mais de 5500 proteínas combinando o proteoma total junto com 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fosfoproteoma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Destas proteínas, 366 mostraram regulação envolvida com a interação com a matriz extracelular, apoptose e organização do citoesqueleto, processos vitais na migração neuronal, orientação dos axônios e sinapses mostrando o potencial das células como modelo neuronal. Destacaram-se proteínas como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catenina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sym w:font="Symbol" w:char="F064"/>
      </w: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elastina de interfase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microfibrilar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agrina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o fator indutor de apoptose mitocondrial, a proteína de sobrevivência de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motoneurônios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estatmina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 que podem ser aprofundadas em futuras pesquisas. Por outro lado, na diferenciação das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neuroesferas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 os suplementos B27 e N2 foram identificadas quase 7000 proteínas das quais 1048 sofreram regulação, uma parte significativa esteve relacionada com proteínas de adesão celular e interações célula-célula refletindo a natureza deste tipo de cultura, proteínas como o proteoglicano NCAN, a molécula de adesão celular L1,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neurexina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neuroligina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podem ser consideradas como alvos importantes no desenvolvimento de neurônios, como complemento, proteínas como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sinaptotagmina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sinapsina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ROBO1/2 também foram reguladas mostrando a diversidade de eventos que podem ser analisados na diferenciação das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neuroesferas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Algumas das proteínas discutidas aqui têm relação direta com desordens neurológicas que mostra o potencial das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neuroesferas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na caracterização de proteínas que afetam o desenvolvimento de neurônios e que contribuem ao fenótipo dessas doenças. Os resultados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proteômicos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obtidos a partir de </w:t>
      </w:r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ambos tipos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celulares foram complementares e constituem uma fonte de informação valiosa para os futuros estudos de neurobiologia 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neuroproteômica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5A59DD4C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448B8AB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diferenciação </w:t>
      </w:r>
      <w:proofErr w:type="spellStart"/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neuronal;iTRAQ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;fosfoproteoma;células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SH-SY5Y;neuroesferas</w:t>
      </w:r>
    </w:p>
    <w:p w14:paraId="38559414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461E97EF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Neuronal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vitro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models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allows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considerably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simplify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complexity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functions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advance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large-scale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quantification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mass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spectrometry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compare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those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multiple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phases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impact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post-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translational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processes.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propose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integrative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pipeline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isobaric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tags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relative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absolute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quantification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iTRAQ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phosphopeptide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enrichment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off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hydrophilic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fractionation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analyze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neuronal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vitro models: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neuroblastoma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SH-SY5Y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neural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neurospheres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Retinoic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brain-derived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neurotrophic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factor-based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SH-SY5Y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led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5500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combining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total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phosphoproteome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366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extracellular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matrix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cytoskeleton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organization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relevant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processes in neuronal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migration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axon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guidance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synapses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neuroblastoma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-like model.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highlight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like d-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catenin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elastin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microfibril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interfacer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agrin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survival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motor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stathmin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might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future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neurosphere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B27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N2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supplements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rendered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almost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7000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1048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upregulated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adhesion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cell-cell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reflecting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nature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neuroespheres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like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proteoglycan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NCAN,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adhesion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molecule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L1,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neurexin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neuroligin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targets in neuronal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synaptotagmin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synapsin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Roundabout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homolog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1/2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diversity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events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explored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neurosphere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Some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discussed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strongly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some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neurological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disorders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demonstrating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neurospheres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malfunctions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neuronal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contribution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Proteomic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complementary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constitute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useful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information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future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neurobiology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neuroproteomics</w:t>
      </w:r>
      <w:proofErr w:type="spell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 Keywords</w:t>
      </w:r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: ,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, , , .</w:t>
      </w:r>
    </w:p>
    <w:p w14:paraId="1EB78F68" w14:textId="77777777" w:rsidR="005568B4" w:rsidRPr="005568B4" w:rsidRDefault="005568B4" w:rsidP="005568B4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03054B9F" w14:textId="77777777" w:rsidR="005568B4" w:rsidRPr="005568B4" w:rsidRDefault="005568B4" w:rsidP="005568B4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neuronal </w:t>
      </w:r>
      <w:proofErr w:type="gram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differentiation;iTRAQ</w:t>
      </w:r>
      <w:proofErr w:type="gramEnd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;phosphoproteome;SH-SY5Y </w:t>
      </w:r>
      <w:proofErr w:type="spellStart"/>
      <w:r w:rsidRPr="005568B4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cells;neurospheres</w:t>
      </w:r>
      <w:proofErr w:type="spellEnd"/>
    </w:p>
    <w:p w14:paraId="25E89789" w14:textId="670A17AB" w:rsidR="005568B4" w:rsidRDefault="005568B4"/>
    <w:p w14:paraId="093ADE1B" w14:textId="77777777" w:rsidR="005568B4" w:rsidRDefault="005568B4"/>
    <w:p w14:paraId="4E8211D4" w14:textId="77777777" w:rsidR="005568B4" w:rsidRDefault="005568B4"/>
    <w:sectPr w:rsidR="0055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90"/>
    <w:rsid w:val="00054790"/>
    <w:rsid w:val="005568B4"/>
    <w:rsid w:val="009522E2"/>
    <w:rsid w:val="009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7819"/>
  <w15:chartTrackingRefBased/>
  <w15:docId w15:val="{194A9713-DD68-4647-95D8-BCEFF0A7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9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1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69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51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4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4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0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4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0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4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5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6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31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1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7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8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3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4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5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2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4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7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1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1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1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1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2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8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5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3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20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3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9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6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1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7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7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2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7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3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1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1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9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44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6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60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39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4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0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7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7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4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5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2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3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6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82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6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1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3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0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5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0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3413</Words>
  <Characters>18433</Characters>
  <Application>Microsoft Office Word</Application>
  <DocSecurity>0</DocSecurity>
  <Lines>153</Lines>
  <Paragraphs>43</Paragraphs>
  <ScaleCrop>false</ScaleCrop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Alexsandre Santos</dc:creator>
  <cp:keywords/>
  <dc:description/>
  <cp:lastModifiedBy>Alexsandre Santos</cp:lastModifiedBy>
  <cp:revision>3</cp:revision>
  <dcterms:created xsi:type="dcterms:W3CDTF">2021-08-21T21:35:00Z</dcterms:created>
  <dcterms:modified xsi:type="dcterms:W3CDTF">2021-08-21T21:47:00Z</dcterms:modified>
</cp:coreProperties>
</file>