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5C55" w14:textId="56A8F00A" w:rsidR="009809DE" w:rsidRPr="00EF3F81" w:rsidRDefault="00EF3F81">
      <w:pPr>
        <w:rPr>
          <w:b/>
          <w:bCs/>
        </w:rPr>
      </w:pPr>
      <w:r w:rsidRPr="00EF3F81">
        <w:rPr>
          <w:b/>
          <w:bCs/>
        </w:rPr>
        <w:t>TESES 2020</w:t>
      </w:r>
    </w:p>
    <w:p w14:paraId="661784D7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2F501B27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antitumoral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novel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dinuclear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Cu2+-complexes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tumorigenesis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cytotoxic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mechanism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action</w:t>
      </w:r>
      <w:proofErr w:type="spellEnd"/>
    </w:p>
    <w:p w14:paraId="2F2E61FD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2171F0F1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ZEINAB GHASEMISHAHRESTANI</w:t>
      </w:r>
    </w:p>
    <w:p w14:paraId="2B3512B6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2E1B9CB2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74572490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4E22A897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GHASEMISHAHRESTANI, Z.</w:t>
      </w:r>
    </w:p>
    <w:p w14:paraId="22AA817F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0236BA69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16/12/2020</w:t>
      </w:r>
    </w:p>
    <w:p w14:paraId="0899F662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158DD5D6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Resumo não fornecido em língua portuguesa</w:t>
      </w:r>
    </w:p>
    <w:p w14:paraId="7D51411B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313B999D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Palavras chaves não fornecidas em língua portuguesa</w:t>
      </w:r>
    </w:p>
    <w:p w14:paraId="5680F460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2C2BE6A3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Cancer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major cause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death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worldwide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Current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chemotherapy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cancer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many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side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often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become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resistant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Hence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chemotherapeutic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strategies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involving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novel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antitumor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agents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efficacy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immunity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been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focus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area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cancer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discovery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antitumor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properties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cisplatin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1969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opened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new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field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design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new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class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therapeutic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based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metal. The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anticancer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activities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Cu+2-complexes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been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focus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researchers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aiming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discover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novel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anticancer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agents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investigated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antitumor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novel Cu+2-complexes, [Cu2(</w:t>
      </w:r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μ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-CH3</w:t>
      </w:r>
      <w:proofErr w:type="gram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COO)(</w:t>
      </w:r>
      <w:proofErr w:type="gram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OH2)(L2)]</w:t>
      </w:r>
      <w:r w:rsidRPr="009901F3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·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</w:t>
      </w:r>
      <w:r w:rsidRPr="009901F3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½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H2O (R9)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[Cu2(</w:t>
      </w:r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μ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-OH)(OH2)(HL2)]ClO4</w:t>
      </w:r>
      <w:r w:rsidRPr="009901F3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·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2H2O (R10),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cancer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MCF-7 (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breast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adenocarcinoma), A549 (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lung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carcinoma)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PC3 (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prostate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carcinoma). Both Cu+2-complexes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cytotoxic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positive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cisplatin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 The IC50 (</w:t>
      </w:r>
      <w:proofErr w:type="spellStart"/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μ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values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measured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MTT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MCF-7, A549, PC3,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1.01 </w:t>
      </w:r>
      <w:r w:rsidRPr="009901F3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±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0.09, 1.01 </w:t>
      </w:r>
      <w:r w:rsidRPr="009901F3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±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0.07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1.51 </w:t>
      </w:r>
      <w:r w:rsidRPr="009901F3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±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0.06,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MCF-7, A549, PC3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affected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R10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exhibited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IC50 (</w:t>
      </w:r>
      <w:proofErr w:type="spellStart"/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μ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1.27 </w:t>
      </w:r>
      <w:r w:rsidRPr="009901F3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±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0.14, 1.23 </w:t>
      </w:r>
      <w:r w:rsidRPr="009901F3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±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0.09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1.38 </w:t>
      </w:r>
      <w:r w:rsidRPr="009901F3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±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0.16,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MCF10A,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healthy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breast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epithelial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after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R10,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IC50 (</w:t>
      </w:r>
      <w:proofErr w:type="spellStart"/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μ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8.19 ± 0.87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6.93 ± 0.96,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approximately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7-8 times more</w:t>
      </w:r>
      <w:proofErr w:type="gram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resistant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MCF-7,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showing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Cu+2-complexes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toxicity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relative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non-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cancerous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pictures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invertor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microscope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gave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idea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change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granularity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later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proved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flow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cytometry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revealed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granularity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MCF-7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A549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due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R10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IC50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concentration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(1.0 </w:t>
      </w:r>
      <w:proofErr w:type="spellStart"/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μ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about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2, 2.6, 1.5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1.4 times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untreated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Cu+2-complexes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½ IC50, IC50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2×IC50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concentrations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significantly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mitochondrial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membrane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ΔΨ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high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reactive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oxygen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(ROS)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MCF-7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A549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measured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flow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cytometry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cycle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arrest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displayed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number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Sub-G1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concomitant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decrease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G</w:t>
      </w:r>
      <w:proofErr w:type="gram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1,S</w:t>
      </w:r>
      <w:proofErr w:type="gram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G2/M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phases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MCF-7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A549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IC50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concentration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R10.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Together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TUNEL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confirmed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Cu+2-complexes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DNA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fragmentation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where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percentage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fragmented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DNA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R10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IC50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concentration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MCF-7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A549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3.5, 3.6, 2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 times more</w:t>
      </w:r>
      <w:proofErr w:type="gram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untreated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measured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flow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cytometer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Moreover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caspase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exhibited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R10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IC50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concentration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death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mainly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intrinsic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apoptosis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Competition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between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Cu+2-complexes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PI for DNA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revealed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non-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changes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percentage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fluorescent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/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fluorescence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intensity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assured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compounds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cannot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DNA as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intercalating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vivo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Galleria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mellonella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toxicity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comparison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cisplatin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same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concentration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(50 mg/kg). The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mellonella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agreed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LD50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calculated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BALB/c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cisplatin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BALB/c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promising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since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value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71.6 mg/kg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much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LD50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cisplatin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6.6 mg/kg. The high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value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LD50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means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small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toxicity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Cu+2-complex. The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label-free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proteomic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differentially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expressed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breast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cancer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response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R10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revealed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118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significantly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downregulated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linked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194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downregulated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49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upregulated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defined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upregulated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side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MCF-7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cisplatin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58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downregulated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responsible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105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downregulated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37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upregulated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47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upregulated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Our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confirmed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difference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up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/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downregulated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R10-treated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cisplatin-treated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might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possible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mechanism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R10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cisplatin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Total 6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downregulation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apoptosis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R10-treated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include: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lamin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B1, NRAS, MAPK1, MAPK3,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spectrin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alpha,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calpain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Whereas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apoptosis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inducing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factor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(AIFM1)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upregulation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apoptosis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Moreover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MCF-7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death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R10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might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occur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direct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apoptosis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AIF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shock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70-kDa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HSP70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together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downregulation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lamin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favor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entrance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AIF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nucleus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apoptosis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relate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downregulation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RAS-ERK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via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ezrin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moesin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1-integrin (ITG</w:t>
      </w:r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affect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RAS,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14-3-3 </w:t>
      </w:r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ε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ζ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tyrosine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3-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monooxygenase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tryptophan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5-mono-oxygenase)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ERK1/2.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Furthermore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14-3-3</w:t>
      </w:r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ζ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dysregulation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CRM1/XPO1 (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exportin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1) plus RAN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GTPase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sensitize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apoptosis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downregulation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calpain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casein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kinase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well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catalytic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α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3, </w:t>
      </w:r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α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4)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regulatory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r w:rsidRPr="009901F3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5)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subunits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proteosome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activate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apoptotic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DNA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degradation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down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regulation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vacuolar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ATPase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(V-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ATPase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help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suppressing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growth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survival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tumor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together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rate-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limiting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glycolytic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pyruvate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kinase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impact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glycolytic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flux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force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oxidative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phosphorylation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Altogether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confirm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Cu+2-complexes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tested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great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antitumor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metallodrug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highly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competitive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cisplatin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chemotherapy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2B3BB3F0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2C72C4EC" w14:textId="51351FCA" w:rsidR="00EF3F81" w:rsidRDefault="00EF3F81" w:rsidP="00EF3F81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Cu+2-</w:t>
      </w:r>
      <w:proofErr w:type="gram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complexes;cytotoxicity,;</w:t>
      </w:r>
      <w:proofErr w:type="gram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intrinsic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apoptosis;antitumor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metallodrug;label-free</w:t>
      </w:r>
      <w:proofErr w:type="spellEnd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9901F3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proteomic</w:t>
      </w:r>
      <w:proofErr w:type="spellEnd"/>
    </w:p>
    <w:p w14:paraId="40B32FB5" w14:textId="353A0CF8" w:rsid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5AAD08F9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3B3E154B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Biologia sintética de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Yarrowia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lipolytica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visando a produção de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biossurfactantes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carotenoides</w:t>
      </w:r>
    </w:p>
    <w:p w14:paraId="57C3BA1B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0AC7922D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CAMILLA PIRES DE SOUZA</w:t>
      </w:r>
    </w:p>
    <w:p w14:paraId="253F7F32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0FFF7982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56E5299F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307A97D9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SOUZA, C. P.</w:t>
      </w:r>
    </w:p>
    <w:p w14:paraId="6A202690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6E744E22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04/12/2020</w:t>
      </w:r>
    </w:p>
    <w:p w14:paraId="7EE656CC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659CD867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 versatilidade metabólica da levedura não-convencional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Yarrowia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lipolytica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incentivou o desenvolvimento de uma vasta gama de ferramentas de biologia sintética, o que tem permitido a construção de promissoras plataformas de produção de diferentes compostos de alto valor agregado. À vista disso, o presente estudo objetivou desenvolver cepas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engenheiradas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Y.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lipolytica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visando a obtenção de dois produtos de interesse biotecnológico: o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manosileritritol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lipídio (MEL) e o </w:t>
      </w:r>
      <w:r w:rsidRPr="00EF3F8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-caroteno. Para a produ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çã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o de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MELs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os genes emt1, mac1, mac2 e mmf1 de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Ustilago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maydis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foram clonados em cepas auxotr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ó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ficas derivadas da linhagem W29 atrav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é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 de duas estrat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é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gias: (I) fusionados ao pept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í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deo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autocatal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í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tico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2A em um único cassete de expressão; e (II) separados em cassetes de expressão independentes, construídos pelo sistema Golden Gate Assembly. As cepas recombinantes foram capazes de sintetizar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MELs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em meios mínimos contendo manose 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eritritol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como substrato. O produto gerado pelos recombinantes provenientes da estratégia de clonagem II foi caracterizado por espectrometria de massas como MEL-C2, devido à presença apenas de um grupamento acetila na porção hidrofílica, e sua produção volumétrica alcançou 0,42 g.L-1. A clonagem da proteína transmembrana MMF1 não favoreceu a secreção do MEL-C2, e o uso do glicerol como fonte de carbono não alterou as características estruturais deste glicolipídio nas condições testadas, a fim de torna-lo relevante comercialmente. No entanto, esse é o primeiro relato na literatura da produção de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MELs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por Y.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lipolytica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Para a produção de </w:t>
      </w:r>
      <w:r w:rsidRPr="00EF3F8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-caroteno, o gene URA3 da linhagem selvagem brasileira IMUFRJ 50682 foi nocauteado pelo m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é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todo CRISPR/Cas9 atrav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é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s da 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estrat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é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gia combinat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ó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ria de clivagem dupla, com eficiência de excisão de toda a sequência codificante de 5 – 28%. Os mutantes auxotróficos ura3</w:t>
      </w:r>
      <w:r w:rsidRPr="00EF3F8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Δ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IMUFRJ 50682 constru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í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dos foram transformados com os genes heter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ó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logos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carB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carRP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Mucor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circinelloides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, e o gene hom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ó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logo GGS1. As cepas recombinantes foram capazes de sintetizar de 18,5 a 50,1 </w:t>
      </w:r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mg.L</w:t>
      </w:r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-1 de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beta-caroteno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com a produção específica variando de 2,4 a 4,8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cel-1 em meio rico e mínimo, contendo glicose como fonte de carbono. O emprego da glicerina loira em meio definido levou a síntese de 50,6 </w:t>
      </w:r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mg.L</w:t>
      </w:r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-1 (2,9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cel-1) de carotenoides, e a redução da razão C/N permitiu que cepa recombinante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carotenogênica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atingisse 54,4 mg.L-1 (2,7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cel-1) de carotenoides totais, composto de 91% de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beta-caroteno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substituição dos componentes do meio por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milhocina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apresentou impacto positivo na síntese de carotenoides. A produtividade e as produções volumétrica e específica máximas alcançadas foram de 4,8 </w:t>
      </w:r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mg.L</w:t>
      </w:r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-1.h-1, 154,7 mg.L-1 e 11,6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cel-1, respectivamente, mostrando pela primeira vez o potencial da cepa brasileira IMUFRJ 50682 na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bioconversão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resíduos para produção em larga escala de </w:t>
      </w:r>
      <w:r w:rsidRPr="00EF3F8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-caroteno. Assim, o presente trabalho mostra a ampla flexibilidade da esp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é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cie Y.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lipolytica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para servir como chassi biotecnol</w:t>
      </w:r>
      <w:r w:rsidRPr="00EF3F81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ó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gico em diferentes aplicações industriais.</w:t>
      </w:r>
    </w:p>
    <w:p w14:paraId="4D26D0D7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6526B7BF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Yarrowia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lipolytica;manosileritrirol</w:t>
      </w:r>
      <w:proofErr w:type="spellEnd"/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lipídios;beta-caroteno;CRISPR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/Cas9;Golden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gate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assembly;resíduos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industriais</w:t>
      </w:r>
    </w:p>
    <w:p w14:paraId="19640CF4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2E51BC11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The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versatility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non-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conventional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yeast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Yarrowia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lipolytica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encouraged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wide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range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synthetic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biology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tools,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allowed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construction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promising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platforms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high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added-value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compounds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view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engineered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Y.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lipolytica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order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biotechnological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interest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mannosylerythritol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lipid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(MEL)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r w:rsidRPr="00EF3F8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carotene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For MEL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emt1, mac1, mac2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mmf1 genes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Ustilago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maydis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cloned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autotrophic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derived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Y.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lipolytica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W29.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cloning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strategies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userd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(I) genes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fused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2A self-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cleaving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single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cassette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(II) genes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separated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three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independent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cassettes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Golden Gate Assembly system. The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recombinant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able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synthesize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MELs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minimal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media</w:t>
      </w:r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mannose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erythritol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substrate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generated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recombinants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cloning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strategy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II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characterized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mass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spectrometry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MEL-C2,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due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presence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only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acetyl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group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hydrophilic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portion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volumetric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reached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0.42 </w:t>
      </w:r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g.L</w:t>
      </w:r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-1. The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cloning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transmembrane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MMF1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favor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secretion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MEL-C2,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use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glycerol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carbon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source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alter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characteristics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glycolipid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conditions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tested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order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make it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commercially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relevant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first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report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literature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MEL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Y.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lipolytica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For </w:t>
      </w:r>
      <w:r w:rsidRPr="00EF3F8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carotene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URA3 gene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Brazilian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IMUFRJ 50682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wild-type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knocked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out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combinatorial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dual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cleavage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CRISPR/Cas9-mediated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strategy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excision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efficiency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coding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ranged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28%. The ura3</w:t>
      </w:r>
      <w:r w:rsidRPr="00EF3F8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Δ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IMUFRJ 50682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auxotrophic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mutants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transformed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heterologous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carB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carRP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homologous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GGS1. The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recombinant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able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synthesize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18.5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50.1 </w:t>
      </w:r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mg.L</w:t>
      </w:r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-1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r w:rsidRPr="00EF3F8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carotene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ranging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2.4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4.8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cel-1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rich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minimal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glucose as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carbon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source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use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crude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glycerol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defined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led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carotenoid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50.6 </w:t>
      </w:r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mg.L</w:t>
      </w:r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-1 (2.9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cel-1)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decrease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C/N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ratio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allowed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carotenogenic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recombinant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54.4 mg.L-1 (2.7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cel-1)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total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carotenoids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composed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91%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r w:rsidRPr="00EF3F8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carotene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substitution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culture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corn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steep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liquor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positive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carotenoid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maximum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carotenoid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productivity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volumetric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4.8 </w:t>
      </w:r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mg.L</w:t>
      </w:r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-1.h-1, 154.7 mg.L-1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11.6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mg.g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cel-1,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It shows for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first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time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Brazilian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IMUFRJ 50682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bioconversion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residues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large-scale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r w:rsidRPr="00EF3F8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carotene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reveals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wide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flexibility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Y.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lipolytica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serve as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biotechnological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chassis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industrial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applications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10A8A056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301BB3A6" w14:textId="11E28630" w:rsidR="00EF3F81" w:rsidRDefault="00EF3F81" w:rsidP="00EF3F81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Yarrowia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lipolitica;mannosylerythritol</w:t>
      </w:r>
      <w:proofErr w:type="spellEnd"/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lipids;beta-carotene;CRISPR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/Cas9;Golden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gate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assembly;indsutrial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waste</w:t>
      </w:r>
      <w:proofErr w:type="spellEnd"/>
    </w:p>
    <w:p w14:paraId="169B2D82" w14:textId="5A2D91E4" w:rsid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0CC8BD7A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0C199CDB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Análise dos biomarcadores bioquímicos em militares submetidos a treinamento físico vigoroso e prolongado</w:t>
      </w:r>
    </w:p>
    <w:p w14:paraId="4DA3457D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0BADB4A4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MARCIO ANTONIO DE BARROS SENA</w:t>
      </w:r>
    </w:p>
    <w:p w14:paraId="21F79E18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3378C022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3A6FA1C8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679E4FCB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SENA, M. A. B.</w:t>
      </w:r>
    </w:p>
    <w:p w14:paraId="3F680C4B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15AC6227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29/10/2020</w:t>
      </w:r>
    </w:p>
    <w:p w14:paraId="113E41E5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1C72ABDC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 exercício físico moderado está associado com inúmeros benefícios para a saúde. Entretanto, se vigoroso e prolongado, pode levar à ocorrência de lesões e ao aumento da produção das espécies reativas de oxigênio (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EROs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). Se a produção das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EROs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superar o sistema antioxidante do organismo, instala-se um quadro de estresse oxidativo. Nesta situação, o indivíduo fica susceptível a uma série de malefícios, como danos na membrana celular, proteínas e DNA. Em geral, estes eventos estão relacionados com a fadiga muscular, queda no desempenho e desistências nos treinamentos físicos. Portanto, este trabalho objetivou avaliar o comportamento de biomarcadores sanguíneos de estresse oxidativo, lesão celular e hematológicas em militares submetidos a treinamento físico vigoroso e prolongado (TFVP) durante o curso básico paraquedista do Exército Brasileiro. Foi realizada uma pesquisa observacional analítica transversal em um grupo de 22 militares do Exército Brasileiro, do sexo masculino (21 a 38 anos), voluntários a realização do curso básico paraquedista. Foi realizada coleta de sangue para investigação dos marcadores bioquímicos: I) dano oxidativo: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carbonilação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proteína (CP),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malondialdeído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(MDA) e glutationa oxidada (GSSG); II) sistema antioxidante: grupamento sulfidrila (GS) totais, ácido úrico (AU), enzimas superóxido dismutase (SOD) e catalase (CAT), bem como, a atividade antioxidante total (AAT); III) parâmetros minerais: cálcio (Ca2+) e magnésio (Mg) e; IV) dano muscular: creatina quinase (CK) e lactato desidrogenase (LDH); V) dano hepático: aspartato aminotransferase (AST), alanina aminotransferase (ALT) e gama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glutamil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transferase (GGT); VI) parâmetros hematológicos: leucócitos totais (LT), hemácias,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hemoblogina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Hb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) e hematócrito (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Hct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). As coletas de sangue ocorreram: antes do início da realização do curso (T0) com os voluntários em jejum, após a 1ª semana (T1), 2ª semana (T2) e 3ª semana (T3) de TFVP e três dias após o término do treinamento, caracterizado pela recuperação (T4). Observou-se que as três semanas de TFVP induziu um aumento significativo nos biomarcadores CP, MDA, GS totais, SOD,AAT, Ca2+, CK, LDH, AST, ALT e LT nos períodos T1, T2, T3 e/ou T4 versus T0, sendo mais pronunciado em T1. A maioria dos biomarcadores apresentou uma redução gradual versus T1, exceto Ca2+ e ALT. Foi observado uma redução significativa na GSSG e no Mg em T1 versus T0. A CAT mostrou um aumento significativo em T3 e T4 versus T0 e T1. O AU apresentou uma redução significativa em T4 versus T1, T2 e T3. A maioria dos biomarcadores demonstrou valores próximos ou inferiores em T4 versus T0 (P&lt;0,05). Nosso estudo é pioneiro na apresentação da relação de um conjunto de biomarcadores bioquímicos de estresse oxidativo afetando a capacidade antioxidante de militares e provocando lesão celular. É possível que as descobertas deste estudo ampliem a compreensão fisiológica e possam servir de base para que o comando do Exército Brasileiro e confederações esportivas adotem medidas preventivas visando preservar a saúde dos indivíduos submetidos a estes tipos de estresses físicos.</w:t>
      </w:r>
    </w:p>
    <w:p w14:paraId="7637DD34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582DFC44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Exercício;Espécie</w:t>
      </w:r>
      <w:proofErr w:type="spellEnd"/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reativas de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oxigênio;Estresse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oxidativo;Militares</w:t>
      </w:r>
      <w:proofErr w:type="spellEnd"/>
    </w:p>
    <w:p w14:paraId="77339797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114B625C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Moderate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physical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exercise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health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benefits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vigorous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prolonged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it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lead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injury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reactive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oxygen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(ROS).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ROS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exceeds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body’s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antioxidant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system,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oxidative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stress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organism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situation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individual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susceptible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series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harms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damage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membrane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DNA.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Generally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events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muscle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fatigue,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drop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performance,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burnout.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Therefore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behavior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blood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biomarkers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oxidative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stress,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hematological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injuries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military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personnel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submitted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vigorous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prolonged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physical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training (VPPT)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during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basic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parachutist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course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Brazilian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Army.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cross-</w:t>
      </w:r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sectional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analytical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observational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research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conducted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group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22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Brazilian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Army male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soldiers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(21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38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years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basic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parachutist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course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Blood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collection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investigate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biochemical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markers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I)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oxidative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damage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carbonylation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(PC),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malondialdehyde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(MDA),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oxidized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glutathione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(GSSG); II)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antioxidant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system: total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sulfhydryl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group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(SG),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uric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acid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(UA),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superoxide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dismutase (SOD),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catalase (CAT)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well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total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antioxidant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(TAA); III) mineral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parameters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magnesium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(Mg)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calcium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(Ca2+); IV)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muscle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damage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creatine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kinase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(CK)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lactate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dehydrogenase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(LDH); V)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liver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damage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aspartate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aminotransferase (AST),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alanine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aminotransferase (ALT),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gamma-glutamyl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transferase (GGT); VI)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hematological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parameters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total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leukocytes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(TL),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erythrocytes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hemoglobin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Hb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hematocrit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Hct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Blood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collections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occurred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before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course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(T0)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fasting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volunteers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1st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week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(T1), 2nd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week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(T2),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3rd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week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(T3)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VPPT,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three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days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after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training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period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characterized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recovery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(T4).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three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weeks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VPPT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biomarkers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PC, MDA, total SG, SOD, TAA, Ca2+, CK, LDH, AST, ALT,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TL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periods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T1, T2, T3,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/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T4 versus T0,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more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pronounced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T1. Most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biomarkers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gradual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versus T1,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except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Ca2+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ALT.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GSSG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Mg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T1 versus T0. CAT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T3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T4 versus T0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T1. The UA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reduction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T4 versus T1, T2,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T3. Most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biomarkers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values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close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below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T4 versus T0 (P&lt;0.05).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Our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pioneering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relationship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set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biochemical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markers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oxidative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stress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affecting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antioxidant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capacity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military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personnel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causing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damage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it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possible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findings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physiological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understandings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may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serve as a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basis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Brazilian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Army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sports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confederations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adopt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preventive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measures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preserving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health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individuals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submitted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types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physical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stresses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1409297C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EF3F8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3E892727" w14:textId="77777777" w:rsidR="00EF3F81" w:rsidRPr="00EF3F81" w:rsidRDefault="00EF3F81" w:rsidP="00EF3F81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proofErr w:type="gram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Exercise;Reactive</w:t>
      </w:r>
      <w:proofErr w:type="spellEnd"/>
      <w:proofErr w:type="gram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oxygen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species;Oxidative</w:t>
      </w:r>
      <w:proofErr w:type="spellEnd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F3F81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stress;Military</w:t>
      </w:r>
      <w:proofErr w:type="spellEnd"/>
    </w:p>
    <w:p w14:paraId="68EA461A" w14:textId="7E903154" w:rsid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0B51FFB9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63CC118E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ESTUDOS ESTRUTURAIS E DA DINÂMICA DA ENZIMA FKBP12 DE </w:t>
      </w:r>
      <w:proofErr w:type="gram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MICRO-ORGANISMOS</w:t>
      </w:r>
      <w:proofErr w:type="gram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: BUSCA POR NOVOS ALVOS TERAPÊUTICOS</w:t>
      </w:r>
    </w:p>
    <w:p w14:paraId="26CA5B04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3C12678B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GUILHERME CALDAS DE ANDRADE</w:t>
      </w:r>
    </w:p>
    <w:p w14:paraId="291B1717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0F518DCC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46B986AD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56708432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ANDRADE, G.C.</w:t>
      </w:r>
    </w:p>
    <w:p w14:paraId="358C5AD7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6485BA6D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29/04/2020</w:t>
      </w:r>
    </w:p>
    <w:p w14:paraId="794DDD02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3B2487C5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 infecções microbianas continuam sendo um desafio para a humanidade, com considerável impacto no sistema de saúde de vários países devido à sua elevada taxa de mortalidade. A crescente resistência e a diminuição do desenvolvimento de novos agentes tornaram a terapia convencional ineficaz. Dessa forma, a pesquisa de medicamentos mais ativos e novos alvos para essas doenças é essencial. A enzima FKBP12 (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peptidil-prolil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cis-trans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isomerase) foi escolhida como alvo para esses estudos. Embora o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ortólogo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humano já seja usado como alvo para compostos, essa proteína também está presente em vários micro-organismos causadores de doenças, que difere em cerca de 40% em sua sequência primária em comparação à primeira. Dessa maneira, essas enzimas são validadas como alvos biológicos. Foram selecionadas as proteínas FKBP12 de Trypanosoma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brucei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(TbFKBP12) e Mycobacterium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tuberculosis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(MtFKBP12). Elas foram expressas em E. coli BL21 (DE3), induzidas com IPTG e purificadas, em etapas, através de cromatografia de afinidade e exclusão molecular. A proteína MtFKBP12 foi isotopicamente marcada com 15N e 13C e todos os experimentos necessários para o assinalamento sequencial e de correlação espacial via NOESY foram realizados por RMN. Os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atribuídos, as restrições diédricas previstas e ligações de hidrogênio foram usadas como entrada para o cálculo estrutural usando Aria2.2 / CNS1.2. Diversos ciclos de cálculo foram realizados usando protocolos padrão de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simulated-annealing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Os 20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confôrmeros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menor energia foram refinados por dinâmica em água. A estrutura da MtFKBP12 é semelhante às outras proteínas desta família, porém com uma região N-terminal divergente que mostra pouca convergência estrutural. A 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 xml:space="preserve">dinâmica da cadeia principal do MtFKBP12 foi investigada medindo os parâmetros de relaxação: 15N R1, R2 e 1H-15N NOE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heteronuclear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indicaram que as principais variações nos parâmetros ocorrem nos resíduos da região N-terminal e nos loops </w:t>
      </w:r>
      <w:r w:rsidRPr="0010594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1- </w:t>
      </w:r>
      <w:r w:rsidRPr="0010594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 e h</w:t>
      </w:r>
      <w:r w:rsidRPr="00105945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é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lice </w:t>
      </w:r>
      <w:r w:rsidRPr="00105945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π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r w:rsidRPr="0010594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5. Experimentos de titula</w:t>
      </w:r>
      <w:r w:rsidRPr="00105945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çã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 com o pept</w:t>
      </w:r>
      <w:r w:rsidRPr="00105945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í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deo ligante N-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Succinil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-AXPF-</w:t>
      </w:r>
      <w:r w:rsidRPr="0010594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ρ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nitroanilida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(X: leucina ou alanina) foram realizados com as proteínas TbFKBP12 e MtFKBP12. Além disto, experimentos de STD envolvendo a proteína MtFKBP12 e os dois substratos já citados também foram realizados. Os dados indicaram que a interação parece maior com o ligante N-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Succinil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-ALPF-</w:t>
      </w:r>
      <w:r w:rsidRPr="0010594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ρ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nitroanilida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O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Docking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molecular realizado com o servidor HADDOCK 2.2 permitiu observar uma regi</w:t>
      </w:r>
      <w:r w:rsidRPr="00105945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ã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 preferencial de liga</w:t>
      </w:r>
      <w:r w:rsidRPr="00105945">
        <w:rPr>
          <w:rFonts w:ascii="Source Sans Pro" w:eastAsia="Times New Roman" w:hAnsi="Source Sans Pro" w:cs="Source Sans Pro"/>
          <w:color w:val="000000"/>
          <w:sz w:val="20"/>
          <w:szCs w:val="20"/>
          <w:lang w:eastAsia="pt-BR"/>
        </w:rPr>
        <w:t>çã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 para ambos os substratos na MtFKBP12. Tais dados corroboraram os dados experimentais obtidos através de CSP e STD. Os resultados obtidos com este trabalho identificam os principais resíduos das proteínas envolvidos na ligação com o substrato, o que pode facilitar a identificação de ligantes de baixa afinidade com potencial para subsequentemente se tornarem compostos líderes no desenho de novos medicamentos.</w:t>
      </w:r>
    </w:p>
    <w:p w14:paraId="037955BB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60DA8D25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Estrutura de </w:t>
      </w:r>
      <w:proofErr w:type="gram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proteínas;FKBP</w:t>
      </w:r>
      <w:proofErr w:type="gram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12;Enzimas;PPIase</w:t>
      </w:r>
    </w:p>
    <w:p w14:paraId="3B65B6B5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481F17AB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Microbial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infections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remain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challenge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humankind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considerable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impact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health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system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countries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due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elevated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mortality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rate.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rising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resistance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decrease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new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agents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turned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conventional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therapy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ineffective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research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more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effective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targets for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essential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 FKBP12 (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peptidylprolyl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cis-trans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isomerase)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chosen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a target for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Although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human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ortholog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already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a target for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compounds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numerous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disease-causing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microorganisms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about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40%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their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primary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first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validated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biological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targets.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Initially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FKBP12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Trypanosoma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brucei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(TbFKBP12)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Mycobacterium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tuberculosis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(MtFKBP12)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They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E. coli BL21(DE3),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IPTG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purified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steps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affinity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size-exclusion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chromatography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MtFKBP12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isotopically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labelled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15N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13C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experiments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required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NMR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assignment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besides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NOESY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spatial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correlation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experiments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Lists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assigned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predicted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dihedral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constraints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hydrogen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bonds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 input</w:t>
      </w:r>
      <w:proofErr w:type="gram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calculation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Aria2.2/CNS1.2.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calculation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cycles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standard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simulated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annealing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protocols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Finally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20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best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conformers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refined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dynamics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water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It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possible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observe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MtFKBP12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similar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family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divergent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N-terminal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portion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shows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little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convergence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backbone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dynamics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MtFKBP12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investigated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measuring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relaxation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parameters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15N R1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R2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relaxation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experiments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1H-15N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heteronuclear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variations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parameters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occur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residues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N-terminal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r w:rsidRPr="0010594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1-</w:t>
      </w:r>
      <w:r w:rsidRPr="0010594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2 loops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helix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π-</w:t>
      </w:r>
      <w:r w:rsidRPr="0010594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β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5.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Titration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experiments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N-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succinyl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-AXPF-</w:t>
      </w:r>
      <w:r w:rsidRPr="0010594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ρ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nitroanilide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(X: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leucine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alanine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TbFKBP12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MtFKBP12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STD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experiments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MtFKBP12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substrates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already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mentioned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Data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appears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stronger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N-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Succinyl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 ALPF-</w:t>
      </w:r>
      <w:r w:rsidRPr="00105945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ρ</w:t>
      </w: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nitroanilide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molecular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docking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HADDOCK </w:t>
      </w:r>
      <w:proofErr w:type="gram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2.2 server</w:t>
      </w:r>
      <w:proofErr w:type="gram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allowed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observe a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preferred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substrate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data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corroborated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experimental data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previously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identify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residues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substrate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facilitate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identification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affinity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ligands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subsequently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become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leading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compounds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design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new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6BDBD3C2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6B57B51B" w14:textId="1ECBC1ED" w:rsidR="00105945" w:rsidRDefault="00105945" w:rsidP="00105945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Structure;FKBP</w:t>
      </w:r>
      <w:proofErr w:type="gram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12;Enzymes;PPIase</w:t>
      </w:r>
    </w:p>
    <w:p w14:paraId="13A69F22" w14:textId="7A338CA7" w:rsid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0385D2BC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3FF23743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PRODUÇÃO DE BIOLUBRIFICANTE POR TRANSESTERIFICAÇÃO ENZIMÁTICA DE ÉSTERES METÍLICOS DE SOJA UTILIZANDO LIPASE NÃO COMERCIAL DE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Rhizomucor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miehei</w:t>
      </w:r>
      <w:proofErr w:type="spellEnd"/>
    </w:p>
    <w:p w14:paraId="4A3ECB53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660AFBA7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KASSIA LEONE IGNACIO</w:t>
      </w:r>
    </w:p>
    <w:p w14:paraId="4E6520F7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18AE81C5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79B51477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lastRenderedPageBreak/>
        <w:t>Abreviatura:</w:t>
      </w:r>
    </w:p>
    <w:p w14:paraId="32DF1863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IGNACIO, K.L.</w:t>
      </w:r>
    </w:p>
    <w:p w14:paraId="33B74AE2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19C08D6E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28/04/2020</w:t>
      </w:r>
    </w:p>
    <w:p w14:paraId="0AFE79D3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5F94445B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Os lubrificantes são produtos usados para redução de desgaste e corrosão, refrigeração e proteção de componentes móveis de motores e equipamentos. A classe de óleos sintéticos, tais como ésteres de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poliois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constitui-se de moléculas produzidas por esterificação com álcoois alifáticos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polihidroxilados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conversão de óleos vegetais em poliol ésteres melhora sua estabilidade térmica e resistência à hidrólise. Todavia, o alto custo de enzimas comerciais limita a viabilidade econômica de suas aplicações. A utilização de enzimas produzidas por Fermentação em Estado Sólido (FES) de rejeitos agroindustriais representa uma alternativa de redução dos custos desses biocatalisadores. Nesse contexto, o objetivo desse trabalho é desenvolver biocatalisadores de baixo custo para a síntese de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biolubrificantes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especificamente, com a lipase de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Rhyzomucor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miehei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por FES, e a obtenção de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biolubrificantes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por catálise enzimática. A FES foi conduzida em biorreatores do tipo bandeja, contendo torta de babaçu e esporos de R.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miehei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O sólido fermentado liofilizado constitui o Preparado Enzimático Sólido (PES). As reações para síntese de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biolubrificantes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foram realizadas em reatores de vidro encamisados e sob agitação. Ao meio racional, composto de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neopentilglicol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(NPG), biodiesel de soja (BDS) e água, foi adicionado o PES (20% m/m). A síntese do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biolubrificante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foi medida pela porcentagem das hidroxilas do NPG esterificadas, determinando-se o teor de ésteres de biodiesel em cada alíquota reacional por cromatografia gasosa e o teor de ácidos graxos livres por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titulometria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neutralização. Um primeiro estudo reacional com planejamento experimental do tipo delineamento central composto rotacional (DCCR) foi conduzido tendo como variáveis a razão molar, a temperatura e o teor de água. Os resultados apontaram como melhor combinação a razão molar de 3,1 mols de BDS para 1 mol de NPG, acrescida de 2,5% (%m/m) de água, com temperatura de 45 °C. O produto teve suas características físico-químicas bem avaliadas em análises conduzidas pelo CENPES. As cinéticas até 120h revelaram conversões que atingem 100% após 72h, sem modificação no percentual de acidez a partir disso. Conversões similares foram atingidas quando as reações foram catalisadas pela enzima comercial RM-IM (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Lipozyme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). Estudos de reutilização do PES demonstraram melhores resultados quando o PES não foi submetido a lavagens com solvente. A adição de NPG ou etanol ao meio reacional após 72h de reação resultou no consumo dos ácidos graxos, tendo a adição do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poliálcool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favorecido tanto o consumo dos ácidos graxos quanto do biodiesel remanescente (apenas 1,5% de biodiesel não foi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transesterificado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ou hidrolisado). Os resultados desta tese chegaram a um produto com alto percentual de conversão e com boas propriedades físico-químicas, produzido por catálise enzimática utilizando um biocatalisador obtido a partir de cultivo em coprodutos agroindustriais.</w:t>
      </w:r>
    </w:p>
    <w:p w14:paraId="560F3372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203574D5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proofErr w:type="gram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Biolubrificantes;Lipase</w:t>
      </w:r>
      <w:proofErr w:type="gram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;Biodiesel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Soja;Fermentação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em Estado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Sólido;Rhizomucor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miehei;Transesterificação</w:t>
      </w:r>
      <w:proofErr w:type="spellEnd"/>
    </w:p>
    <w:p w14:paraId="3DCFCFBE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686186FC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Lubricants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wear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corrosion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cooling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protection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movable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engine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components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equipments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class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synthetic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oils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polyol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esters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consists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molecules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esterification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polyhydroxylated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aliphatic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alcohols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Vegetable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oils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conversion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polyol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esters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improves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their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thermal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stability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resistance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hydrolysis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high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cost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commercial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limits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economic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viability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their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applications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use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Solid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(SSF)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proofErr w:type="gram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agro-industrial</w:t>
      </w:r>
      <w:proofErr w:type="spellEnd"/>
      <w:proofErr w:type="gram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waste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represents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alternative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biocatalysts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costs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context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objective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cost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biocatalysts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biolubricants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specifically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Rhyzomucor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miehei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lipase,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SSF,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biolubricants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enzymatic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catalysis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SSF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conducted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tray-type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bioreactors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babassu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cake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R.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miehei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spores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lyophilized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solid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constitutes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Solid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Preparation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(SEP).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reactions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biolubricants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carried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out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jacketed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glass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reactors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agitation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SEP (20% w/w)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rational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composed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neopentylglycol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(NPG),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biodiesel (SB)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water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biolubricant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measured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percentage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esterified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NPG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hydroxyls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determining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biodiesel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esters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content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each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aliquot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chromatography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free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fatty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acids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content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neutralization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titrometry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preliminary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central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composite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rotational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design (CCRD)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conducted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molar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ratio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temperature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water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content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variables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188/5000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best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combination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molar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ratio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3.1:1 (BDS:NPG), plus 2.5% (% w/w)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water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45 ° C.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well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concerning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physical-chemical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characteristics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analyzes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conducted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CENPES.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kinetics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curves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up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120h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revealed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conversions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100%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after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72h,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without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changing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acidity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Similar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conversions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achieved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reactions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catalyzed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commercial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RM-IM (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Lipozyme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). SEP reuse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better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when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SEP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been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subjected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solvent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washes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NPG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ethanol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after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72 hours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fatty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acids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consumption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polyalcohol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favoring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fatty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acids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remaining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biodiesel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consumption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only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1.5%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biodiesel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transesterified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hydrolyzed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). The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reached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high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percentage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conversion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good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physical-chemical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properties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enzymatic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catalysis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biocatalyst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cultivation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agroindustrial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by-products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00845F05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105945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713E04C0" w14:textId="734933F5" w:rsidR="00105945" w:rsidRDefault="00105945" w:rsidP="00105945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proofErr w:type="gram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Biolubricants;Lipase</w:t>
      </w:r>
      <w:proofErr w:type="gram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;Soy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Biodiesel;Solid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State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Fermentation;Rhizomucor</w:t>
      </w:r>
      <w:proofErr w:type="spellEnd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105945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Miehei;Transesterification</w:t>
      </w:r>
      <w:proofErr w:type="spellEnd"/>
    </w:p>
    <w:p w14:paraId="62D23870" w14:textId="35CC1E45" w:rsid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0FCA5BB6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612D1913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Desenvolvimento De Um Anticorpo Monoclonal Recombinante Para Tratamento De Altos Níveis De Colesterol</w:t>
      </w:r>
    </w:p>
    <w:p w14:paraId="1A27E471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0773842B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THAYANA ARAUJO DA CRUZ</w:t>
      </w:r>
    </w:p>
    <w:p w14:paraId="75A2132D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65C68FF8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TESE</w:t>
      </w:r>
    </w:p>
    <w:p w14:paraId="0D8E0938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1D0460F1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CRUZ, T. A.</w:t>
      </w:r>
    </w:p>
    <w:p w14:paraId="4C07CED9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629737BE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03/03/2020</w:t>
      </w:r>
    </w:p>
    <w:p w14:paraId="5E4256DA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320AD970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Altos níveis de lipoproteína de baixa </w:t>
      </w:r>
      <w:proofErr w:type="gram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densidade (LDL) no sangue estão</w:t>
      </w:r>
      <w:proofErr w:type="gram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relacionados com um aumento de cerca de 50% no risco de desenvolvimento de doenças cardiovasculares, que são a principal causa de morte em todo o mundo. Desde a década de 1980, as estatinas vêm sendo usadas amplamente como tratamento de primeira escolha para a redução dos níveis de colesterol. Entretanto, cerca de 20% dos pacientes sofrem com efeitos colaterais ou são intolerantes às estatinas, além da dificuldade associada ao tratamento de portadores da doença genética hipercolesterolemia familiar. Neste contexto, a aprovação de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biofármacos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 classe de anticorpos monoclonais (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inibidores da enzima PCSK9 surge como uma alternativa de tratamento eficiente. A PCSK9 é responsável pela degradação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lisossomal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dos receptores de LDL, diminuindo significativamente a sua concentração na superfície das células hepáticas e comprometendo a remoção eficiente de LDL circulante. Os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anti-PCSK9 permitem, portanto, que mais receptores de LDL estejam disponíveis, possibilitando uma redução dos níveis de colesterol. Desta forma, o objetivo geral deste trabalho consiste em desenvolver uma plataforma para a expressão de um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inibidor de PCSK9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biossimiliar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ao produto de referência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Repatha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® (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evolocumabe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Amgen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), incluindo desde a geração de uma população estável de células CHO até a caracterização e formulação do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biofármaco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produzido. Para isso, as seguintes etapas foram realizadas: (1) construção de vetores de expressão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tricistrônicos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mediados por elementos IRES contendo os genes do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anti-PCSK9 (cadeias leve e pesada com seus respectivos peptídeos sinal -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) e diferentes marcadores de seleção (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Hygro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); (2)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transfecção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seleção de células da linhagem CHO-K1 com os vetores construídos; (3) caracterização comparativa do crescimento, metabolismo e produtividade das linhagens estáveis geradas; (5) produção de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através de cultivo da linhagem mais promissora em batelada em frascos agitados; (6) purificação do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através de cromatografia de afinidade à proteína A; (7) caracterização estrutural, físico-química e biológica do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produzido e (8) estudos de estabilidade em diferentes formulações líquidas. Inicialmente, a linhagem estável mais promissora dentre as obtidas foi selecionada, tendo sido a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transfectada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 um plasmídeo de expressão contendo a seguinte construção gênica: promotor CMV-(spL</w:t>
      </w:r>
      <w:proofErr w:type="gram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1)cadeia</w:t>
      </w:r>
      <w:proofErr w:type="gram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leve-IRES-(spH7)cadeia pesada-IRES-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Em seguida, 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oriundo de sobrenadante de diversos cultivos em batelada desta população foi purificado. 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foi então </w:t>
      </w:r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extensivamente caracterizado e mostrou elevada pureza com concentrações mínimas de agregados e fragmentos; perfil de N-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glicosilação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de cargas compatível com imunoglobulinas G humanas; estruturas primária, secundária e terciária, conformação global, solubilidade relativa e propensão à agregação similares ao produto de referência e alta afinidade de reconhecimento pela proteína-alvo (PCSK9). Estudos comparativos de estabilidade em diferentes condições de pH e temperatura, além de diversas formulações, também mostraram uma elevada similaridade entre 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biossimilar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produzido e o produto de referência. A inclusão de açúcares (sacarose), aminoácidos (glicina, prolina) e surfactantes (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polisorbato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80) na formulação do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mostrou-se benéfica para o aumento de sua integridade conformacional e coloidal. Os resultados obtidos confirmam a eficiência da plataforma proposta, apontando gargalos no processo que podem ser investigados e superados para aplicação do processo em maior escala futuramente.</w:t>
      </w:r>
    </w:p>
    <w:p w14:paraId="65447B45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0F3A0140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Anticorpo monoclonal anti-PCSK</w:t>
      </w:r>
      <w:proofErr w:type="gram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9;Plasmídeos</w:t>
      </w:r>
      <w:proofErr w:type="gram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tricistrônicos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mediados por elementos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IRES;Células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CHO;Atributos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críticos de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qualidade;Formulação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proteínas;Desenvolvimento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biossimilar</w:t>
      </w:r>
      <w:proofErr w:type="spellEnd"/>
    </w:p>
    <w:p w14:paraId="3F4EBF67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4B11B360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High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levels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low-density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lipoprotein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(LDL) in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blood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about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50%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risk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cardiovascular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leading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cause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death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worldwide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Since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1980s,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statins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been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widely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first-choice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lowering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cholesterol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levels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about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20%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patients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adverse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tolerate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statins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patients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familial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hypercholesterolaemia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challenging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context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approval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PCSK9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inhibitor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monoclonal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antibodies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arises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efficient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alternative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PCSK9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responsible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lysosomal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degradation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LDL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receptors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significantly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decreasing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concentration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surface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liver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compromising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efficient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removal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circulating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LDL. Anti-PCSK9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therefore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allow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more LDL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receptors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available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lowering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cholesterol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levels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goal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platform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anti-PCSK9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biosimilar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reference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Repatha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® (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evolocumab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Amgen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including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steps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generation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stable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pool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characterization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biopharmaceutical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following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steps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: (1)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construction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IRES-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mediated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tricistronic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vectors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anti-PCSK9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genes (light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heavy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chains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their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-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markers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Hygro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); (2)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transfection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CHO-K1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constructed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vectors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 (3)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comparative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characterization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growth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metabolism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productivity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generated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stable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 (5)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cultivation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promising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batch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cultures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shake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flasks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 (6)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purification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affinity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chromatography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; (7)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physicochemical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biological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characterization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(8)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stability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liquid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Initially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promising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stable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among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those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been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transfected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plasmid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following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construct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: CMV promoter-(spL</w:t>
      </w:r>
      <w:proofErr w:type="gram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1)light</w:t>
      </w:r>
      <w:proofErr w:type="gram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chain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-IRES-(spH7)heavy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chain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-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IRES-Neo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supernatant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batches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line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purified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extensively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characterized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high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minimal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aggregate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fragment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concentrations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; N-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glycosylation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charge profile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compatible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human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immunoglobulins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G;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primary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secondary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tertiary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structures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global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conformation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relative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solubility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aggregation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propensity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similar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reference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high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affinity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(PCSK9).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Comparative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stability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pH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temperature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conditions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well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high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similarity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between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biosimilar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reference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inclusion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sugars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(sucrose), amino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acids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glycine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proline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surfactants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polysorbate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80) in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mAb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beneficial for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conformational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colloidal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integrity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confirm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efficiency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proposed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platform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highlighting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bottlenecks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potentially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investigated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overcome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apply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large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scales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future.</w:t>
      </w:r>
    </w:p>
    <w:p w14:paraId="011B455E" w14:textId="77777777" w:rsidR="00BE4906" w:rsidRPr="00BE4906" w:rsidRDefault="00BE4906" w:rsidP="00BE4906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0E40D24F" w14:textId="77777777" w:rsidR="00BE4906" w:rsidRPr="00BE4906" w:rsidRDefault="00BE4906" w:rsidP="00BE4906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Anti-PCSK9 monoclonal </w:t>
      </w:r>
      <w:proofErr w:type="spellStart"/>
      <w:proofErr w:type="gram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antibody;Tricistronic</w:t>
      </w:r>
      <w:proofErr w:type="spellEnd"/>
      <w:proofErr w:type="gram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plasmids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mediated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IRES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elements;CHO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cells;Critical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quality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attributes;Formulation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proteins;Biosimilar</w:t>
      </w:r>
      <w:proofErr w:type="spellEnd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BE4906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</w:p>
    <w:p w14:paraId="3A466C48" w14:textId="3AB4D548" w:rsidR="00BE4906" w:rsidRDefault="00BE4906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4666FDCD" w14:textId="77777777" w:rsidR="00BE4906" w:rsidRPr="00105945" w:rsidRDefault="00BE4906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26A7D071" w14:textId="77777777" w:rsidR="00105945" w:rsidRPr="00105945" w:rsidRDefault="00105945" w:rsidP="00105945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7CC15434" w14:textId="77777777" w:rsidR="00EF3F81" w:rsidRPr="00EF3F81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0F10543F" w14:textId="77777777" w:rsidR="00EF3F81" w:rsidRPr="009901F3" w:rsidRDefault="00EF3F81" w:rsidP="00EF3F81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</w:p>
    <w:p w14:paraId="2A0D94F0" w14:textId="77777777" w:rsidR="00EF3F81" w:rsidRDefault="00EF3F81"/>
    <w:sectPr w:rsidR="00EF3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1"/>
    <w:rsid w:val="00105945"/>
    <w:rsid w:val="009522E2"/>
    <w:rsid w:val="009809DE"/>
    <w:rsid w:val="00A95973"/>
    <w:rsid w:val="00BE4906"/>
    <w:rsid w:val="00E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FA32"/>
  <w15:chartTrackingRefBased/>
  <w15:docId w15:val="{2888418C-C18A-4A32-9DFC-82206D21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0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7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90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21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14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4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84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89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7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30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4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2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7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13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3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2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4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95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47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57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11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7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37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3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4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0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82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9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5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5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5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3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54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73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81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74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0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0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59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40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2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66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86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8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6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1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4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1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41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516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50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101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79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239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3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643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9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943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98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6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24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9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0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58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5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53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67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09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65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80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37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2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33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5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7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6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89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2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1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39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28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0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80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9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21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2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2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4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35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6068</Words>
  <Characters>32768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Alexsandre Santos</dc:creator>
  <cp:keywords/>
  <dc:description/>
  <cp:lastModifiedBy>Alexsandre Santos</cp:lastModifiedBy>
  <cp:revision>3</cp:revision>
  <dcterms:created xsi:type="dcterms:W3CDTF">2021-08-21T17:05:00Z</dcterms:created>
  <dcterms:modified xsi:type="dcterms:W3CDTF">2021-08-21T17:41:00Z</dcterms:modified>
</cp:coreProperties>
</file>