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CF61" w14:textId="115E89A3" w:rsidR="003D25B5" w:rsidRPr="00F1312A" w:rsidRDefault="003D25B5" w:rsidP="003D25B5">
      <w:pPr>
        <w:rPr>
          <w:b/>
          <w:bCs/>
        </w:rPr>
      </w:pPr>
      <w:r w:rsidRPr="00F1312A">
        <w:rPr>
          <w:b/>
          <w:bCs/>
        </w:rPr>
        <w:t>TESES 2021</w:t>
      </w:r>
    </w:p>
    <w:p w14:paraId="5B240E1D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Proteína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ligadora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 odor 17 (RproOBP17) de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Rhodnius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prolixus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como alvo molecular para o controle populacional do vetor da doença de Chagas</w:t>
      </w:r>
    </w:p>
    <w:p w14:paraId="113E5916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Autor:</w:t>
      </w:r>
    </w:p>
    <w:p w14:paraId="1FEC5FB6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NATHALIA FARO DE BRITO</w:t>
      </w:r>
    </w:p>
    <w:p w14:paraId="4A207DDE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Tipo de Trabalho de Conclusão:</w:t>
      </w:r>
    </w:p>
    <w:p w14:paraId="5B8982B1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TESE</w:t>
      </w:r>
    </w:p>
    <w:p w14:paraId="4567A05C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Abreviatura:</w:t>
      </w:r>
    </w:p>
    <w:p w14:paraId="337FBE04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BRITO, N. F.</w:t>
      </w:r>
    </w:p>
    <w:p w14:paraId="46A97C10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Data da Defesa:</w:t>
      </w:r>
    </w:p>
    <w:p w14:paraId="6F095F21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14/05/2021</w:t>
      </w:r>
    </w:p>
    <w:p w14:paraId="559375B7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Resumo:</w:t>
      </w:r>
    </w:p>
    <w:p w14:paraId="1517C9B8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A doença de Chagas é considerada uma doença tropical negligenciada que ainda afeta cerca de 7 milhões de pessoas em todo o mundo. Seu agente etiológico é o protozoário Trypanosoma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cruzi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transmitido por insetos triatomíneos conhecidos como barbeiros, dentre os quais o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Rhodnius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prolixus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é um vetor importante, principalmente na região andina da América do Sul e na América Central. Como não existe vacina para a doença de Chagas, o controle do vetor é o meio mais eficaz de prevenção da infecção. No entanto, o manejo de populações de vetores triatomíneos usando inseticidas químicos parece não ter sucesso. Repelentes clássicos que se mostraram úteis para proteção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constra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mosquitos, como o DEET, IR3535 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icaridina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também se mostraram ineficazes para triatomíneos. Uma vez que é bem estabelecido que a interpretação de sinais químicos no ambiente é essencial para a sobrevivência do inseto, o mecanismo molecular associado ao sistema olfativo tornou-se uma área de interesse para pesquisas com o objetivo de desenvolver novas estratégias de controle capazes de interferir em respostas comportamentais mediadas pela olfação. Diversas proteínas participam do processo de olfação, dentre as quais destacam-se as proteínas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ligadoras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 odor (OBP), responsáveis pelo transporte de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semioquímicos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majoritariamente hidrofóbicos através da linfa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sensilar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até os receptores olfativos (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localizados na membrana dos dendritos sensoriais, iniciando 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trandução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do sinal olfativo e a resposta comportamental associada.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OBPs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são proteínas pequenas e solúveis secretadas na linfa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sensilar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por células acessórias. Como odores não chegam até os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sem o auxílio de uma OBP, elas podem ser usadas como alvos moleculares para triagem de novos compostos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comportamentalmente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ativos em insetos (atrativos ou repelentes) por meio de uma abordagem conhecida como ecologia química reversa. Para utilizar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OBPs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nesse tipo de estudo, é essencial focar em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OBPs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funcionais, ou seja, aquelas realmente envolvidas na comunicação química. Além de selecionar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OBPs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funcionais, protocolos de expressão e purificação capazes de produzir a proteína recombinante para análises in vitro também precisam ser elaborados para torná-la um alvo adequado. Portanto, o objetivo desse estudo foi utilizar a RproOBP17 como alvo molecular visando o desenvolvimento de novas estratégias de controle vetorial. Os resultados revelaram que a expressão do RproOBP17 ocorre especificamente em antenas e não depende do estado nutricional do R.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prolixus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Utilizando análises experimentais associadas a estudos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silico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foi possível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hipotetizar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participação dessa proteína na detecção de voláteis da glândula de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Brindley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como 2-metilpropanoato de 2-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feniletila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2-feniletanol e 2-metilpropanoato de 2-metilpropila. A expressão e purificação da RproOBP17 também foi realizada com sucesso. Finalmente, a triagem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silico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por novos compostos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comportamentalmente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ativos usando a OBP17 sugeriu alta afinidade de ligação por compostos como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cedrol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r w:rsidRPr="003D25B5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α</w:t>
      </w: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-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humuleno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r w:rsidRPr="003D25B5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β</w:t>
      </w: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-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cariofileno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</w:t>
      </w:r>
      <w:r w:rsidRPr="003D25B5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β</w:t>
      </w: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-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damascenona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.</w:t>
      </w:r>
    </w:p>
    <w:p w14:paraId="4CA26252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Palavras-chave:</w:t>
      </w:r>
    </w:p>
    <w:p w14:paraId="0CA2D2C3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proteína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ligadora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 odor (OBP</w:t>
      </w:r>
      <w:proofErr w:type="gram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);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Rhodnius</w:t>
      </w:r>
      <w:proofErr w:type="spellEnd"/>
      <w:proofErr w:type="gram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prolixus;olfação;controle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vetorial;comunicação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química</w:t>
      </w:r>
    </w:p>
    <w:p w14:paraId="5D7C36B0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Abstract:</w:t>
      </w:r>
    </w:p>
    <w:p w14:paraId="014AF275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Chagas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disease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considered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neglected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tropical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disease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which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still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affects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around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7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million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people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worldwide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Its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etiological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agent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protozoan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Trypanosoma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cruzi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transmitted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triatomine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insects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known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kissing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bugs,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amongst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which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Rhodnius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prolixus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major vector,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especially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Andean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region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South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America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Central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America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Seeing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there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no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vaccine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Chagas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disease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vector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control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been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most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effective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means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preventing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infection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However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population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management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triatomine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vectors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chemicals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been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repeatedly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unsuccessful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while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ago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insecticide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resistance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triatomines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considered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unlikely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due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their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long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life-cycle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lastRenderedPageBreak/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low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genetic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variability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Nonetheless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several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studies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have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reported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resistance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different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species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various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insecticides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essentially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most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commonly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pyrethroids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Classic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repellents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useful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protection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against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mosquito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populations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such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DEET, IR3535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picaridin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also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proven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ineffective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when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dealing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triatomines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Since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it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well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established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interpretation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chemical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signals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environment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essential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insect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survival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molecular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mechanism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underlying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their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olfactory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system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become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area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interest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research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aiming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new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strategies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vector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control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capable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interfering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olfaction-mediated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behavioral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responses.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After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reaching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antennae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semiochemicals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penetrate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cuticle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through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pores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sensilla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arrive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aqueous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environment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sensillar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lymph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rich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soluble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Several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take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part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insect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olfaction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including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odorant-binding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OBPs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responsible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binding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transporting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hydrophobic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odorants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across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sensillar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lymph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until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reach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sensory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dendrites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activate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membrane-bound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odorant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receptors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initiating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transduction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olfactory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signal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will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evoke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behavioral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response.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OBPs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are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small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soluble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secreted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accessory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sensillar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lymph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Given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no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odorant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comes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except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through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OBPs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gram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 molecular</w:t>
      </w:r>
      <w:proofErr w:type="gram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targets for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screening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new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insect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behaviorally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active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compounds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attractants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repellents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through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reverse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chemical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ecology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approach.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order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use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OBPs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gram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 molecular</w:t>
      </w:r>
      <w:proofErr w:type="gram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targets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kind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it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essential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focus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functional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OBPs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namely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actually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involved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chemical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communication.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Therefore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purpose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use OBP17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prolixus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(RproOBP17) as a molecular target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aiming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development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novel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strategies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population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management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vector.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revealed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RproOBP17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antennae-specific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non-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dependent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insects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’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nutritional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state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Combining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experimental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analysis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silico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studies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able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hypothesize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role for RproOBP17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detecting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Brindley’s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glands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volatiles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like 2-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phenylethyl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2-methylpropanoate, 2-phenylethanol, 2-methylpropyl 2-methylpropanoate.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have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also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been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able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successfully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express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purify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RproOBP17.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Finally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virtual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screening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potential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behaviorally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active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compounds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RproOBP17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suggested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high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binding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affinity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ligands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such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cedrol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r w:rsidRPr="003D25B5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α</w:t>
      </w: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-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humulene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r w:rsidRPr="003D25B5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β</w:t>
      </w: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-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caryophyllene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r w:rsidRPr="003D25B5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β</w:t>
      </w: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-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damascenone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.</w:t>
      </w:r>
    </w:p>
    <w:p w14:paraId="334410ED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Keywords:</w:t>
      </w:r>
    </w:p>
    <w:p w14:paraId="554A2432" w14:textId="185B7E2D" w:rsidR="003D25B5" w:rsidRDefault="003D25B5" w:rsidP="003D25B5">
      <w:pPr>
        <w:pBdr>
          <w:bottom w:val="single" w:sz="12" w:space="1" w:color="auto"/>
        </w:pBd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odorant-binding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(OBP</w:t>
      </w:r>
      <w:proofErr w:type="gram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);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Rhodnius</w:t>
      </w:r>
      <w:proofErr w:type="spellEnd"/>
      <w:proofErr w:type="gram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prolixus;olfaction;vector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control;chemical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communication</w:t>
      </w:r>
    </w:p>
    <w:p w14:paraId="750EF65F" w14:textId="5A0E81B0" w:rsid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</w:p>
    <w:p w14:paraId="1B765C44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Título:</w:t>
      </w:r>
    </w:p>
    <w:p w14:paraId="26BE4C96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Atividade antitumoral do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clotrimazol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em um modelo de melanoma murino: inibição da PI3K e indução da repolarização de macrófagos associados ao tumor.</w:t>
      </w:r>
    </w:p>
    <w:p w14:paraId="6D8CD817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Autor:</w:t>
      </w:r>
    </w:p>
    <w:p w14:paraId="4F4AD863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ALAN CLAVELLAND OCHIONI</w:t>
      </w:r>
    </w:p>
    <w:p w14:paraId="055C3119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Tipo de Trabalho de Conclusão:</w:t>
      </w:r>
    </w:p>
    <w:p w14:paraId="3CD44B79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TESE</w:t>
      </w:r>
    </w:p>
    <w:p w14:paraId="37602E0F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Abreviatura:</w:t>
      </w:r>
    </w:p>
    <w:p w14:paraId="7FD3CBC3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OCHIONI, A. C.</w:t>
      </w:r>
    </w:p>
    <w:p w14:paraId="7B3D01A1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Data da Defesa:</w:t>
      </w:r>
    </w:p>
    <w:p w14:paraId="6E747F30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11/05/2021</w:t>
      </w:r>
    </w:p>
    <w:p w14:paraId="06403E77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Resumo:</w:t>
      </w:r>
    </w:p>
    <w:p w14:paraId="69A90F9A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O câncer é um grave problema de saúde global e tem sido uma das principais causas de morbimortalidade nos países desenvolvidos e em desenvolvimento. Existem muitos elementos que contribuem para o estabelecimento e a progressão do tumor, um dos quais está relacionado a alterações no metabolismo das células tumorais. O efeito Warburg ou glicólise aeróbica direciona o fluxo glicolítico para a produção de lactato e contribui para o desenvolvimento do tumor. Estudos prévios demonstraram que a alta produção de lactato pelas células tumorais está relacionada à polarização de macrófagos, contribuindo para a agressividade do tumor. Nesse contexto, a ação de fármacos moduladores do metabolismo tumoral pode diminuir a produção de lactato por estas células. Dentre estes destacamos o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clotrimazol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(CTZ), um modulador negativo da glicólise nas células tumorais. Assim, o presente trabalho teve como objetivo avaliar se a inibição do metabolismo tumoral e, consequentemente da produção de lactato, pelo CTZ poderia promover a redução da polarização de macrófagos para um perfil anti-inflamatório contribuindo para a inibição da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tumorigênese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Neste trabalho foram utilizadas células de melanoma murino (B16F10) e linhagens celulares de macrófagos murinos (J774 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Raw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264.7), além de macrófagos murinos em cultura </w:t>
      </w: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lastRenderedPageBreak/>
        <w:t xml:space="preserve">primária (BMDM). Para os ensaios in vivo, células B16F10 foram injetadas por via subcutânea no dorso de camundongos C57BL/6J os quais foram tratados por 15 dias com CTZ. Nossos resultados mostram que o CTZ reduz o crescimento tumoral através da modulação do metabolismo celular. Adicionalmente, observamos uma menor infiltração de macrófagos nos tumores dos animais tratados. Os macrófagos remanescentes no microambiente tumoral apresentaram um perfil pró-inflamatório, ou seja, antitumoral. Estes resultados foram confirmados em experimentos com linhagens celulares em cultura e indicam que: a) em células tumorais o CTZ inibe a via da PI3K promovendo a inibição do metabolismo glicolítico tumoral com consequente redução da produção de lactato por estas células; b) o lactato secretado pelas células tumorais induz a polarização de macrófagos para um perfil M2, ou seja, pró-tumoral; c) o CTZ induz a repolarização dos macrófagos para um perfil M1 (pró-inflamatório) contribuindo para sua ação anticâncer. Por fim, nossos resultados demonstram que este fármaco apresenta efeitos promissores agindo sobre ambos os tipos celulares atuando, especialmente, no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crosstalk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entre células tumorais-macrófagos.</w:t>
      </w:r>
    </w:p>
    <w:p w14:paraId="15C885E0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Palavras-chave:</w:t>
      </w:r>
    </w:p>
    <w:p w14:paraId="48C4B0AD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gram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Cãncer;Inflamação</w:t>
      </w:r>
      <w:proofErr w:type="gram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;Lactato;Citotoxicidade;PI3K</w:t>
      </w:r>
    </w:p>
    <w:p w14:paraId="3CBAAF92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Abstract:</w:t>
      </w:r>
    </w:p>
    <w:p w14:paraId="60EE3BE5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Cancer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serious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global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health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problem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been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major cause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morbidity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mortality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countries.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There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are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many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elements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contribute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establishment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progression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tumor,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which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related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changes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metabolism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tumor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Warburg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effect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aerobic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glycolysis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directs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glycolytic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flow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lactate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contributes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development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tumor.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Previous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studies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have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high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lactate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tumor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related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macrophage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polarization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contributing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tumor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aggressiveness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context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drugs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modulate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tumor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metabolism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decrease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lactate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these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Among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these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drugs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highlight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clotrimazole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(CTZ), a negative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modulator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glycolysis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tumor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present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aimed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evaluate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whether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inhibition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tumor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metabolism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consequently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lactate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could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promote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reduction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macrophage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polarization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anti-inflammatory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profile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contributing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inhibition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tumorigenesis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work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murine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melanoma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(B16F10)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murine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macrophage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lines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(J774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Raw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264.7)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addition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murine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macrophages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primary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culture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(BMDM). For in vivo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assays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B16F10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injected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subcutaneously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back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C57BL/6J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mice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which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treated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15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days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CTZ.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Our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show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CTZ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reduces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tumor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growth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modulating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cellular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metabolism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Additionally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observed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decreased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macrophage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infiltration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tumors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treated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animals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remaining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macrophages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tumor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microenvironment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pro-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inflammatory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i.e.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anti-tumor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profile.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These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confirmed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experiments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cultured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lines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indicate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: a) in tumor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CTZ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inhibits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PI3K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pathway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promoting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inhibition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tumor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glycolytic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metabolism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consequent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reduction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lactate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; b)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lactate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secreted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tumor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induces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polarization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macrophages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M2 profile, i.e. pro-tumor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macrophages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; c) CTZ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induces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repolarization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macrophages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M1 profile (pro-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inflammatory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anti-tumor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contributing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its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anti-cancer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Finally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our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demonstrate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drug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promising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effects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acting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both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types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acting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especially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crosstalk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between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tumor-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macrophage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.</w:t>
      </w:r>
    </w:p>
    <w:p w14:paraId="2E7CA173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Keywords:</w:t>
      </w:r>
    </w:p>
    <w:p w14:paraId="7E4A89C5" w14:textId="0C945856" w:rsidR="003D25B5" w:rsidRDefault="003D25B5" w:rsidP="003D25B5">
      <w:pPr>
        <w:pBdr>
          <w:bottom w:val="single" w:sz="12" w:space="1" w:color="auto"/>
        </w:pBd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gram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Cancer;Inflamation</w:t>
      </w:r>
      <w:proofErr w:type="gram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;Lactate;cytotoxicity;PI3K</w:t>
      </w:r>
    </w:p>
    <w:p w14:paraId="04434763" w14:textId="241656D7" w:rsid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</w:p>
    <w:p w14:paraId="6BD6F49F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Título:</w:t>
      </w:r>
    </w:p>
    <w:p w14:paraId="30736EF9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RAMINOLIPÍDEOS E O PERFIL DE EXPRESSÃO GÊNICA EM Pseudomonas aeruginosa PAO1</w:t>
      </w:r>
    </w:p>
    <w:p w14:paraId="57751FFF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Autor:</w:t>
      </w:r>
    </w:p>
    <w:p w14:paraId="435955CC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MICHELE ROCHA CASTRO</w:t>
      </w:r>
    </w:p>
    <w:p w14:paraId="553D5CFB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Tipo de Trabalho de Conclusão:</w:t>
      </w:r>
    </w:p>
    <w:p w14:paraId="2E24FC46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TESE</w:t>
      </w:r>
    </w:p>
    <w:p w14:paraId="5BEEE344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Abreviatura:</w:t>
      </w:r>
    </w:p>
    <w:p w14:paraId="76919FBC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CASTRO, M.R.</w:t>
      </w:r>
    </w:p>
    <w:p w14:paraId="4BA9EF0D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Data da Defesa:</w:t>
      </w:r>
    </w:p>
    <w:p w14:paraId="51449406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30/03/2021</w:t>
      </w:r>
    </w:p>
    <w:p w14:paraId="4EEF7CE6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Resumo:</w:t>
      </w:r>
    </w:p>
    <w:p w14:paraId="549771C6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lastRenderedPageBreak/>
        <w:t xml:space="preserve">Pseudomonas aeruginosa é um patógeno oportunista capaz de causar infecções em indivíduos imunocomprometidos. É também um importante organismo modelo para o estudo de comportamentos multicelulares, como a formação de biofilmes aderentes e a motilidade celular. A formação de biofilmes por essa espécie bacteriana envolve muitos fatores, tais como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Quorum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Sensing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(QS),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exopolissacarídeos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(EPS), fímbria tipo IV, flagelos 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raminolipídeos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Raminolipídeos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são glicolipídios que apresentam grande eficiência tensoativa, cuja biossíntese é controlada em nível transcricional e pós-transcricional, por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mecanimos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regulatórios complexos, que incluem os sistemas de QS e reguladores globais, como fatores sigma alternativos. Os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raminolipídeos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são produzidos pela via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biossintética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RhlABC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estão diretamente relacionados à cinética de formação de biofilmes e à motilidade bacteriana. Esta relação é comumente associada às propriedades físico-químicas dessa classe de moléculas, classificadas como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biossurfactantes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Dentre os produtos da via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RhlABC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em P. aeruginosa, os três principais são o ácido 3- (3-hidroxialcanoiloxi)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alcanóico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(HAA), L-raminosil-3-hidroxidecanoil-3-hidroxidecanoato (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mono-raminolipídeo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) e L-raminosil-L-raminosil-3-hidroxidecanoil-3-hidroxidecanoato (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di-raminolipídeo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). O HAA é sintetizado através da enzima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RhlA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sendo convertido em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mono-raminolipídeo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pela enzima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RhlB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Em seguida, o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mono-raminolipídeo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pode ser convertido em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di-raminolipídeo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pela enzima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RhlC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RhlA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é, portanto, uma enzima-chave na produção de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biossurfactantes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do tipo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raminolipídeo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em P. aeruginosa. Dessa forma, o presente estudo teve como objetivo investigar os mecanismos bioquímicos associados ao papel fisiológico dos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raminolipídeos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através da análise comparativa do perfil de expressão gênica da linhagem P. aeruginosa PAO1 e sua derivada deficiente na biossíntese de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raminolipídeos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mutante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rhlA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-negativa, empregando-se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microarranjos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 DNA. O desenho experimental empregou o RNA total obtido a partir de cultivos bacterianos em fase estacionária. A análise apontou 134 genes diferencialmente expressos na mutante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rhlA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em relação à cepa selvagem, sendo 91 genes regulados positivamente e 43 negativamente, compreendendo diferentes categorias funcionais, indicando uma diferença fisiológica significativa entre as cepas produtora e não produtora de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raminolipídeos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. Dentre as observações mais importantes, vários genes flagelares mostraram-se reprimidos na cepa mutante, alguns dos quais foram selecionados e testados por RT-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qPCR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confirmando o perfil de repressão, que está diretamente relacionado aos fenótipos de motilidade da cepa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rhlA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-negativa, deficiente para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swarming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twitching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Por outro lado, foi observada a indução da expressão dos genes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pilO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pilA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que codificam proteínas integrantes da fímbria tipo IV. Foi também verificada a indução da expressão de genes de um sistema de secreção do tipo VI (hcp1) e outros relacionados à produção de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EPSs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Os resultados obtidos sugerem um possível padrão de regulação da expressão gênica, mediada pelos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raminolipídeos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e/ou seus precursores, HAA, ausentes na cepa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rhlA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-negativa. Ensaios fenotípicos reforçam essa hipótese, já que na ausência dos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raminolipídeos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conforme demonstrado para a cepa mutante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rhlA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ocorre a redução da motilidade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swarming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fato esse que pode ser atribuído à repressão da biossíntese flagelar observada nesse estudo. No presente estudo, foi também realizada a suplementação da cepa mutante com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raminolipídeos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exógenos, que teve sua motilidade do tipo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swarming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restaurada em nível semelhante aos da cepa selvagem, fato este observado pela primeira vez nesse trabalho. Portanto, a análise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transcriptômica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global por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microarranjos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 DNA mostrou-se relevante para a elucidação dos prováveis mecanismos moleculares envolvidos na dinâmica regulatória dos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biossurfactantes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raminolipídicos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e/ou HAA sobre fenótipos como a formação de biofilmes e motilidade em P. aeruginosa PAO1, que são importantes fatores adaptativos e de virulência.</w:t>
      </w:r>
    </w:p>
    <w:p w14:paraId="50F49A30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Palavras-chave:</w:t>
      </w:r>
    </w:p>
    <w:p w14:paraId="52CBF46F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Pseudomonas </w:t>
      </w:r>
      <w:proofErr w:type="gram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aeruginosa;raminolipídeos</w:t>
      </w:r>
      <w:proofErr w:type="gram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;motilidade;swarming;flagelos;biossurfactantes;rhlA;DNA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microarray</w:t>
      </w:r>
      <w:proofErr w:type="spellEnd"/>
    </w:p>
    <w:p w14:paraId="756D2DB9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Abstract:</w:t>
      </w:r>
    </w:p>
    <w:p w14:paraId="78800585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Pseudomonas aeruginosa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opportunistic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pathogen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capable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causing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infections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immunocompromised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individuals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It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also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important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model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organism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multicellular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behaviors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such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formation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adherent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biofilms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cellular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motility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formation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biofilms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bacterial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species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involves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many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factors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such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Quorum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Sensing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(QS),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exopolysaccharides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(EPS), fimbria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type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IV,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flagella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rhamnolipids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Rhamnolipids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are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glycolipids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have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great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surfactant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efficiency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whose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biosynthesis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controlled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transcriptional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post-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transcriptional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levels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complex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regulatory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mechanisms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which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include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QS systems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global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regulators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alternative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sigma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factors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Rhamnolipids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are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RhlABC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biosynthetic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lastRenderedPageBreak/>
        <w:t>pathway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are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directly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related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biofilm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formation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kinetics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bacterial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motility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relationship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commonly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associated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physicochemical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properties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class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molecules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classified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biosurfactants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Among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RhlABC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pathway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in P. aeruginosa,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three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main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are 3- (3-hydroxyalkanoyloxy)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alkanoic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acid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(HAA), L-rhamnosyl-3-hydroxidecanoyl-3-hydroxidecanoate (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mono-rhamnolipid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L-rhamnosyl-L-rhamnosyl-3-hydroxidecanoyl-3-hydroxidecanoate (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di-rhamnolipid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). HAA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synthesized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through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RhlA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converted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mono-rhamnolipid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RhlB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mono-rhamnolipid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converted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di-rhamnolipid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RhlC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RhlA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therefore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key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rhamnolipid-type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biosurfactants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P. aeruginosa.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Thus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present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aimed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investigate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biochemical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mechanisms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associated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physiological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role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rhamnolipids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through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comparative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analysis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gene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expression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profile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P. aeruginosa PAO1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strain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its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derivative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deficient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rhamnolipids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biosynthesis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rhlA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-negative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mutant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DNA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microarrays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experimental design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total RNA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obtained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bacterial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cultures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stationary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phase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analysis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134 genes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differentially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expressed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mutant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rhlA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relation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wild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strain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91 genes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regulated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positively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43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negatively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comprising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different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functional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categories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indicating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significant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physiological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difference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between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non-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strains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rhamnolipids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Among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most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important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observations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several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flagellar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genes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repressed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mutant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strain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some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which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selected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tested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RT-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qPCR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confirming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repression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profile,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which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directly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related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motility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phenotypes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deficient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rhlA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-negative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strain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swarming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twitching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other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it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observed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induction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expression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pilO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pilA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genes,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which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encode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type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IV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fimbriae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induction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gene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expression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type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VI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secretion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system (hcp1)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others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related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EPS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also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verified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obtained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suggest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possible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pattern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regulation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gene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expression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mediated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rhamnolipids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/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their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precursors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HAA,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absent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rhlA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-negative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strain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Phenotypic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assays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reinforce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hypothesis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since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absence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rhamnolipids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demonstrated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mutant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strain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rhlA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there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reduction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swarming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motility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fact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attributed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repression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flagellar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biosynthesis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observed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present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mutant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strain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also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supplemented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exogenous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rhamnolipids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which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its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swarming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motility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restored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level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similar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wild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strain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fact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observed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first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time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work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Therefore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global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transcriptomic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analysis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DNA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microarrays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proved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relevant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elucidation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probable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molecular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mechanisms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involved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regulatory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dynamics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rhamnolipids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biosurfactants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/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HAA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phenotypes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such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biofilm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formation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motility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P. aeruginosa PAO1,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which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are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important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adaptive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virulence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factors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.</w:t>
      </w:r>
    </w:p>
    <w:p w14:paraId="6260AE22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Keywords:</w:t>
      </w:r>
    </w:p>
    <w:p w14:paraId="32054111" w14:textId="0E9E068A" w:rsidR="003D25B5" w:rsidRDefault="003D25B5" w:rsidP="003D25B5">
      <w:pPr>
        <w:pBdr>
          <w:bottom w:val="single" w:sz="12" w:space="1" w:color="auto"/>
        </w:pBd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Pseudomonas </w:t>
      </w:r>
      <w:proofErr w:type="gram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aeruginosa;rhamnolipids</w:t>
      </w:r>
      <w:proofErr w:type="gram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;motility;swarming;flagella;biosurfactants;rhlA;DNA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microarray</w:t>
      </w:r>
      <w:proofErr w:type="spellEnd"/>
    </w:p>
    <w:p w14:paraId="5C5298DE" w14:textId="67BF5BF5" w:rsid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</w:p>
    <w:p w14:paraId="7B664AB8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Título:</w:t>
      </w:r>
    </w:p>
    <w:p w14:paraId="1E4D6B28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APROVEITAMENTO BIOTECNOLÓGICO DA GLICERINA RESIDUAL DO BIODIESEL PARA GERAÇÃO DE HIDROGÊNIO, 1,3-PROPANODIOL E METANO</w:t>
      </w:r>
    </w:p>
    <w:p w14:paraId="1B14B02E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Autor:</w:t>
      </w:r>
    </w:p>
    <w:p w14:paraId="03B7959A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MARIANA DE OLIVEIRA FABER</w:t>
      </w:r>
    </w:p>
    <w:p w14:paraId="34F2F3F6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Tipo de Trabalho de Conclusão:</w:t>
      </w:r>
    </w:p>
    <w:p w14:paraId="6785F4FD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TESE</w:t>
      </w:r>
    </w:p>
    <w:p w14:paraId="191478D6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Abreviatura:</w:t>
      </w:r>
    </w:p>
    <w:p w14:paraId="416C64F0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FABER, M. O.</w:t>
      </w:r>
    </w:p>
    <w:p w14:paraId="766911B1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Data da Defesa:</w:t>
      </w:r>
    </w:p>
    <w:p w14:paraId="37D8B095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25/03/2021</w:t>
      </w:r>
    </w:p>
    <w:p w14:paraId="0EFB1295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Resumo:</w:t>
      </w:r>
    </w:p>
    <w:p w14:paraId="5104986C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Glicerina é o subproduto da produção de biodiesel, correspondente a 10% da massa total da reação de transesterificação. Atualmente, a maior parte a glicerina gerada no Brasil é exportada, porém este produto de baixo valor agregado pode ser utilizado internamente, promovendo a valorização da cadeia produtora de biodiesel como um todo. Por conter altos teores de glicerol em sua composição, a glicerina pode ser processada de diversas formas, inclusive em processos biotecnológicos. Nesta tese, um lote de glicerina proveniente de uma planta industrial de biodiesel foi </w:t>
      </w:r>
      <w:proofErr w:type="gram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utilizada</w:t>
      </w:r>
      <w:proofErr w:type="gram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como matéria-prima para produção de hidrogênio (H2) e 1,3-propanodiol (1,3-PDO) por processo </w:t>
      </w:r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lastRenderedPageBreak/>
        <w:t xml:space="preserve">fermentativo, e o efluente gerado neste processo foi utilizado como matéria-prima para a produção de metano (CH4) por digestão anaeróbia. Ambos </w:t>
      </w:r>
      <w:proofErr w:type="gram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os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processo</w:t>
      </w:r>
      <w:proofErr w:type="spellEnd"/>
      <w:proofErr w:type="gram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utilizaram lodo anaeróbio de estação de tratamento de esgoto como inóculo. Primeiramente, selecionou-se um lote de lodo anaeróbio, em função do ponto de coleta na ETE, mais propício para a produção de H2, bem como o tipo de pré-tratamento deste lodo que promovesse maior produção de H2 e apresentasse estabilidade do inóculo. Realizou-se então a produção de 1,3-PDO em meio contendo suplementos para a via redutora do metabolismo de glicerol, obtendo-se 3,47 g/L a partir de 10 g/L de glicerol, o que corresponde à eficiência de 61%. Em seguida foram realizadas alterações sequenciais no processo fermentativo para promover o aumento da produção de H2: aumento na concentração de substrato, volume de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headspace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otimização dos componentes do meio, a saber; partindo-se de 1 g/L de glicerol, em frasco de penicilina com 10% de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headspace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meio fermentativo não otimizado e alterando-se para 7 g/L de glicerol, em reator manométrico com ajustes no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headspace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passando para 50% comparativamente em meio composto por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Tween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80, ureia e fosfatos, foi possível aumentar o volume específico de H2 gerado em 10 vezes e a produtividade volumétrica em 17 vezes. O efluente obtido neste processo foi empregado como matéria-prima para 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metanogênese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sequencialmente, levando à produção de 822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/L de CH4 em 39 dias. A digestão anaeróbia do efluente da produção de H2 conduzida em meio não otimizado levou à produção de 857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/L em 28 dias, correspondendo à eficiência de 86%. O processo sequencial de produção de H2 e CH4 utilizando meio composto apenas por glicerina, lodo anaeróbio e água resultou na produtividade energética de 142 kJ/(</w:t>
      </w:r>
      <w:proofErr w:type="spellStart"/>
      <w:proofErr w:type="gram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d.gglicerol</w:t>
      </w:r>
      <w:proofErr w:type="spellEnd"/>
      <w:proofErr w:type="gram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e remoção de 95% da DQO do efluente em relação à alimentação. A digestão anaeróbia direta da glicerina resultou em uma produção de CH4 inferior à obtida em processo sequencial, a partir da mesma concentração de glicerol, indicando que a digestão anaeróbia em duas etapas é o processo mais indicado para valorização energética da glicerina. Portanto, nesta tese foram produzidos H2, 1,3-PDO e CH4 a partir de glicerina utilizando lodo anaeróbio de ETE como inóculo em processo simples e efetivo. Para produção de H2 e 1,3-PDO em único reator batelada foi necessário suplementar o meio fermentativo com nitrogênio, fósforo 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Tween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80, porém para produção sequencial de H2 e CH4 a suplementação dos meios não se fez necessária.</w:t>
      </w:r>
    </w:p>
    <w:p w14:paraId="38584D36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Palavras-chave:</w:t>
      </w:r>
    </w:p>
    <w:p w14:paraId="2E96F2A0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gram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metano;hidrogênio</w:t>
      </w:r>
      <w:proofErr w:type="gram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;glicerina;1,3-propanodiol;fermentação;digestão anaeróbia</w:t>
      </w:r>
    </w:p>
    <w:p w14:paraId="6FE6AE14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Abstract:</w:t>
      </w:r>
    </w:p>
    <w:p w14:paraId="7FB119D1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Glycerin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by-product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biodiesel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corresponding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10%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total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mass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transesterification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reaction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Currently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most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glycerin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generated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Brazil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exported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however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low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value-added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exploited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internally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promoting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valorization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whole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biodiesel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chain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Since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it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contains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high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levels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glycerol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its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composition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glycerin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processed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several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ways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including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biotechnological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processes.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thesis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glycerin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biodiesel industrial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plant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raw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material for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hydrogen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(H2)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1,3-propanediol (1,3-PDO)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dark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fermentation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effluent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generated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process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raw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material for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methane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(CH4)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anaerobic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digestion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Both processes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anaerobic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sludge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sewage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treatment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plant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inoculum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First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anaerobic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sludge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depending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collect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point,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most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suitable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H2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selected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well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type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pre-treatment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sludge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promoted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higher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H2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inoculum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stability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1,3-PDO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medium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containing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supplements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glycerol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metabolism-reductive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pathway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obtaining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3.47 g/L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10 g/L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glycerol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which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corresponds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efficiency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61%.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sequential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changes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made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fermentation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process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promote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increase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H2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namely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;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 g/L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glycerol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in 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penicillin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flask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10%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headspace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non-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optimized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fermentation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medium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changing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7 g/L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glycerol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in 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manometric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reactor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50%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headspace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comparatively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medium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containing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Tween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80,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urea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phosphates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it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possible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increase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specific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volume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H2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10 times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volumetric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productivity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17 times. The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effluent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obtained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process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raw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material for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methanogenesis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sequentially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leading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822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/L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CH4 in 39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days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anaerobic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digestion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effluent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H2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carried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out in a non-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optimized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medium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led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857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/L in 28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days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corresponding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efficiency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86%. The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sequential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process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H2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CH4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medium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composed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only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glycerin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anaerobic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sludge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water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energetic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productivity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142 kJ/(</w:t>
      </w:r>
      <w:proofErr w:type="spellStart"/>
      <w:proofErr w:type="gram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d.gglycerol</w:t>
      </w:r>
      <w:proofErr w:type="spellEnd"/>
      <w:proofErr w:type="gram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95% COD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removal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effluent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comparing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feed. Direct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anaerobic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digestion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glycerin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lower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CH4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obtained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sequential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process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lastRenderedPageBreak/>
        <w:t>from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same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concentration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glycerol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indicating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anaerobic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digestion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two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stages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most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suitable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process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energetic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valorization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glycerin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Thus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in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thesis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H2, 1,3-PDO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CH4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produced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glycerin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anaerobic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sludge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inoculum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through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simple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effective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process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Aming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H2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1,3-PDO in a single batch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reactor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it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necessary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supplement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fermentative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medium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nitrogen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phosphorus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Tween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80,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although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H2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CH4,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sequentially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medium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supplementation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not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necessary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.</w:t>
      </w:r>
    </w:p>
    <w:p w14:paraId="48385E23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D25B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Keywords:</w:t>
      </w:r>
    </w:p>
    <w:p w14:paraId="35803E41" w14:textId="77777777" w:rsidR="003D25B5" w:rsidRPr="003D25B5" w:rsidRDefault="003D25B5" w:rsidP="003D25B5">
      <w:pPr>
        <w:pBdr>
          <w:bottom w:val="single" w:sz="12" w:space="1" w:color="auto"/>
        </w:pBd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gram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glycerin;hydrogen</w:t>
      </w:r>
      <w:proofErr w:type="gram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;methane;1,3-propanediol;dark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fermentation;anaerobic</w:t>
      </w:r>
      <w:proofErr w:type="spellEnd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D25B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digestion</w:t>
      </w:r>
      <w:proofErr w:type="spellEnd"/>
    </w:p>
    <w:p w14:paraId="6DAAC7F0" w14:textId="4BC524CB" w:rsid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</w:p>
    <w:p w14:paraId="65215B15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</w:p>
    <w:p w14:paraId="080E4097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</w:p>
    <w:p w14:paraId="79921B6B" w14:textId="77777777" w:rsidR="003D25B5" w:rsidRPr="003D25B5" w:rsidRDefault="003D25B5" w:rsidP="003D25B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</w:p>
    <w:p w14:paraId="72D2FD11" w14:textId="77777777" w:rsidR="003D25B5" w:rsidRPr="003D25B5" w:rsidRDefault="003D25B5" w:rsidP="003D25B5"/>
    <w:sectPr w:rsidR="003D25B5" w:rsidRPr="003D25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B5"/>
    <w:rsid w:val="003D25B5"/>
    <w:rsid w:val="009522E2"/>
    <w:rsid w:val="009809DE"/>
    <w:rsid w:val="009901F3"/>
    <w:rsid w:val="00F1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CE4B"/>
  <w15:chartTrackingRefBased/>
  <w15:docId w15:val="{A690798C-1EAD-471C-8F71-C9F737A5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131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55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865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615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8872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637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415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815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40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717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198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781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098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859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650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058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362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459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326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110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834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304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693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302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208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766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907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23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108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939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52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643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409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104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23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087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894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888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619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288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3177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694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433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837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982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912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91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734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71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974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646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286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21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9037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815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632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584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07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008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693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344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0965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806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292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562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20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132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37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08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826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230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89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263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7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52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729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644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709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677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401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796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54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00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843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181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714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197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508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046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362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4221</Words>
  <Characters>22796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Alexsandre Santos</dc:creator>
  <cp:keywords/>
  <dc:description/>
  <cp:lastModifiedBy>Alexsandre Santos</cp:lastModifiedBy>
  <cp:revision>2</cp:revision>
  <dcterms:created xsi:type="dcterms:W3CDTF">2021-08-21T16:52:00Z</dcterms:created>
  <dcterms:modified xsi:type="dcterms:W3CDTF">2021-08-21T17:07:00Z</dcterms:modified>
</cp:coreProperties>
</file>